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79"/>
        <w:ind w:firstLine="0"/>
        <w:jc w:val="center"/>
        <w:rPr>
          <w:rFonts w:hint="eastAsia" w:ascii="Times New Roman" w:hAnsi="Times New Roman"/>
          <w:b/>
          <w:bCs/>
          <w:color w:val="auto"/>
          <w:sz w:val="52"/>
          <w:szCs w:val="52"/>
          <w:highlight w:val="none"/>
          <w:lang w:eastAsia="zh-CN"/>
        </w:rPr>
      </w:pPr>
      <w:r>
        <w:rPr>
          <w:rFonts w:hint="eastAsia" w:ascii="Times New Roman" w:hAnsi="Times New Roman"/>
          <w:b/>
          <w:bCs/>
          <w:color w:val="auto"/>
          <w:sz w:val="52"/>
          <w:szCs w:val="52"/>
          <w:highlight w:val="none"/>
          <w:lang w:eastAsia="zh-CN"/>
        </w:rPr>
      </w:r>
      <w:r/>
    </w:p>
    <w:p>
      <w:pPr>
        <w:pStyle w:val="1179"/>
        <w:ind w:firstLine="0"/>
        <w:jc w:val="center"/>
        <w:rPr>
          <w:rFonts w:ascii="Times New Roman" w:hAnsi="Times New Roman"/>
          <w:b/>
          <w:bCs/>
          <w:color w:val="auto"/>
          <w:sz w:val="52"/>
          <w:szCs w:val="52"/>
          <w:highlight w:val="none"/>
        </w:rPr>
      </w:pPr>
      <w:r>
        <w:rPr>
          <w:rFonts w:hint="eastAsia" w:ascii="Times New Roman" w:hAnsi="Times New Roman"/>
          <w:b/>
          <w:bCs/>
          <w:color w:val="auto"/>
          <w:sz w:val="52"/>
          <w:szCs w:val="52"/>
          <w:highlight w:val="none"/>
          <w:lang w:eastAsia="zh-CN"/>
        </w:rPr>
        <w:t xml:space="preserve">交</w:t>
      </w:r>
      <w:r>
        <w:rPr>
          <w:rFonts w:hint="eastAsia" w:ascii="Times New Roman" w:hAnsi="Times New Roman"/>
          <w:b/>
          <w:bCs/>
          <w:color w:val="auto"/>
          <w:sz w:val="52"/>
          <w:szCs w:val="52"/>
          <w:highlight w:val="none"/>
          <w:lang w:val="en-US" w:eastAsia="zh-CN"/>
        </w:rPr>
        <w:t xml:space="preserve">警</w:t>
      </w:r>
      <w:r>
        <w:rPr>
          <w:rFonts w:hint="eastAsia" w:ascii="Times New Roman" w:hAnsi="Times New Roman"/>
          <w:b/>
          <w:bCs/>
          <w:color w:val="auto"/>
          <w:sz w:val="52"/>
          <w:szCs w:val="52"/>
          <w:highlight w:val="none"/>
          <w:lang w:eastAsia="zh-CN"/>
        </w:rPr>
        <w:t xml:space="preserve">支队2025-2026年科技运维项目</w:t>
      </w:r>
      <w:r/>
    </w:p>
    <w:p>
      <w:pPr>
        <w:pStyle w:val="1179"/>
        <w:ind w:firstLine="0"/>
        <w:jc w:val="left"/>
        <w:rPr>
          <w:rFonts w:ascii="Times New Roman" w:hAnsi="Times New Roman"/>
          <w:b/>
          <w:bCs/>
          <w:color w:val="auto"/>
          <w:sz w:val="52"/>
          <w:szCs w:val="52"/>
          <w:highlight w:val="none"/>
        </w:rPr>
      </w:pPr>
      <w:r>
        <w:rPr>
          <w:rFonts w:ascii="Times New Roman" w:hAnsi="Times New Roman"/>
          <w:b/>
          <w:bCs/>
          <w:color w:val="auto"/>
          <w:sz w:val="52"/>
          <w:szCs w:val="52"/>
          <w:highlight w:val="none"/>
        </w:rPr>
      </w:r>
      <w:r/>
    </w:p>
    <w:p>
      <w:pPr>
        <w:pStyle w:val="1179"/>
        <w:ind w:firstLine="0"/>
        <w:jc w:val="center"/>
        <w:rPr>
          <w:rFonts w:ascii="Times New Roman" w:hAnsi="Times New Roman"/>
          <w:b/>
          <w:bCs/>
          <w:color w:val="auto"/>
          <w:sz w:val="52"/>
          <w:szCs w:val="52"/>
          <w:highlight w:val="none"/>
        </w:rPr>
      </w:pPr>
      <w:r>
        <w:rPr>
          <w:rFonts w:ascii="Times New Roman" w:hAnsi="Times New Roman"/>
          <w:b/>
          <w:bCs/>
          <w:color w:val="auto"/>
          <w:sz w:val="52"/>
          <w:szCs w:val="52"/>
          <w:highlight w:val="none"/>
        </w:rPr>
      </w:r>
      <w:r/>
    </w:p>
    <w:p>
      <w:pPr>
        <w:pStyle w:val="1179"/>
        <w:ind w:firstLine="0"/>
        <w:jc w:val="left"/>
        <w:rPr>
          <w:rFonts w:ascii="Times New Roman" w:hAnsi="Times New Roman"/>
          <w:b/>
          <w:bCs/>
          <w:color w:val="auto"/>
          <w:sz w:val="52"/>
          <w:szCs w:val="52"/>
          <w:highlight w:val="none"/>
        </w:rPr>
      </w:pPr>
      <w:r>
        <w:rPr>
          <w:rFonts w:ascii="Times New Roman" w:hAnsi="Times New Roman"/>
          <w:b/>
          <w:bCs/>
          <w:color w:val="auto"/>
          <w:sz w:val="52"/>
          <w:szCs w:val="52"/>
          <w:highlight w:val="none"/>
        </w:rPr>
      </w:r>
      <w:r/>
    </w:p>
    <w:p>
      <w:pPr>
        <w:pStyle w:val="1179"/>
        <w:ind w:firstLine="0"/>
        <w:jc w:val="center"/>
        <w:rPr>
          <w:rFonts w:ascii="Times New Roman" w:hAnsi="Times New Roman"/>
          <w:b/>
          <w:bCs/>
          <w:color w:val="auto"/>
          <w:sz w:val="52"/>
          <w:szCs w:val="52"/>
          <w:highlight w:val="none"/>
        </w:rPr>
      </w:pPr>
      <w:r>
        <w:rPr>
          <w:rFonts w:ascii="Times New Roman" w:hAnsi="Times New Roman"/>
          <w:b/>
          <w:bCs/>
          <w:color w:val="auto"/>
          <w:sz w:val="52"/>
          <w:szCs w:val="52"/>
          <w:highlight w:val="none"/>
        </w:rPr>
      </w:r>
      <w:r/>
    </w:p>
    <w:p>
      <w:pPr>
        <w:pStyle w:val="1179"/>
        <w:ind w:firstLine="0"/>
        <w:jc w:val="center"/>
        <w:rPr>
          <w:rFonts w:ascii="Times New Roman" w:hAnsi="Times New Roman"/>
          <w:b/>
          <w:bCs/>
          <w:color w:val="auto"/>
          <w:sz w:val="52"/>
          <w:szCs w:val="52"/>
          <w:highlight w:val="none"/>
        </w:rPr>
      </w:pPr>
      <w:r>
        <w:rPr>
          <w:rFonts w:ascii="Times New Roman" w:hAnsi="Times New Roman"/>
          <w:b/>
          <w:bCs/>
          <w:color w:val="auto"/>
          <w:sz w:val="52"/>
          <w:szCs w:val="52"/>
          <w:highlight w:val="none"/>
        </w:rPr>
        <w:t xml:space="preserve">竞争性磋商文件</w:t>
      </w:r>
      <w:r/>
    </w:p>
    <w:p>
      <w:pPr>
        <w:pStyle w:val="1179"/>
        <w:ind w:firstLine="0"/>
        <w:jc w:val="center"/>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w:t>
      </w:r>
      <w:r>
        <w:rPr>
          <w:rFonts w:ascii="Times New Roman" w:hAnsi="Times New Roman"/>
          <w:color w:val="auto"/>
          <w:sz w:val="28"/>
          <w:szCs w:val="28"/>
          <w:highlight w:val="none"/>
        </w:rPr>
        <w:t xml:space="preserve">全流程电子化不见面开标）</w:t>
      </w:r>
      <w:r/>
    </w:p>
    <w:p>
      <w:pPr>
        <w:pStyle w:val="1179"/>
        <w:ind w:firstLine="0"/>
        <w:jc w:val="both"/>
        <w:rPr>
          <w:rFonts w:ascii="Times New Roman" w:hAnsi="Times New Roman"/>
          <w:b/>
          <w:bCs/>
          <w:color w:val="auto"/>
          <w:sz w:val="32"/>
          <w:highlight w:val="none"/>
        </w:rPr>
      </w:pPr>
      <w:r>
        <w:rPr>
          <w:rFonts w:ascii="Times New Roman" w:hAnsi="Times New Roman"/>
          <w:b/>
          <w:bCs/>
          <w:color w:val="auto"/>
          <w:sz w:val="32"/>
          <w:highlight w:val="none"/>
        </w:rPr>
      </w:r>
      <w:r/>
    </w:p>
    <w:p>
      <w:pPr>
        <w:pStyle w:val="1179"/>
        <w:ind w:firstLine="0"/>
        <w:jc w:val="center"/>
        <w:rPr>
          <w:rFonts w:ascii="Times New Roman" w:hAnsi="Times New Roman"/>
          <w:b/>
          <w:bCs/>
          <w:color w:val="auto"/>
          <w:sz w:val="32"/>
          <w:highlight w:val="none"/>
        </w:rPr>
      </w:pPr>
      <w:r>
        <w:rPr>
          <w:rFonts w:ascii="Times New Roman" w:hAnsi="Times New Roman"/>
          <w:b/>
          <w:bCs/>
          <w:color w:val="auto"/>
          <w:sz w:val="32"/>
          <w:highlight w:val="none"/>
        </w:rPr>
      </w:r>
      <w:r/>
    </w:p>
    <w:p>
      <w:pPr>
        <w:pStyle w:val="1179"/>
        <w:ind w:firstLine="0"/>
        <w:jc w:val="both"/>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line="360" w:lineRule="auto"/>
        <w:rPr>
          <w:rFonts w:hint="eastAsia" w:ascii="宋体" w:hAnsi="宋体" w:eastAsia="宋体" w:cs="宋体"/>
          <w:b/>
          <w:bCs/>
          <w:color w:val="auto"/>
          <w:sz w:val="36"/>
          <w:szCs w:val="36"/>
          <w:highlight w:val="none"/>
          <w:lang w:eastAsia="zh-CN"/>
        </w:rPr>
      </w:pPr>
      <w:r>
        <w:rPr>
          <w:rFonts w:hint="eastAsia" w:ascii="宋体" w:hAnsi="宋体" w:cs="宋体"/>
          <w:b/>
          <w:bCs/>
          <w:color w:val="auto"/>
          <w:sz w:val="36"/>
          <w:szCs w:val="36"/>
          <w:highlight w:val="none"/>
        </w:rPr>
        <w:t xml:space="preserve">采购人：</w:t>
      </w:r>
      <w:r>
        <w:rPr>
          <w:rFonts w:hint="eastAsia" w:ascii="宋体" w:hAnsi="宋体" w:cs="宋体"/>
          <w:b/>
          <w:bCs/>
          <w:color w:val="auto"/>
          <w:sz w:val="36"/>
          <w:szCs w:val="36"/>
          <w:highlight w:val="none"/>
          <w:lang w:eastAsia="zh-CN"/>
        </w:rPr>
        <w:t xml:space="preserve">泰州市公安局交通</w:t>
      </w:r>
      <w:r>
        <w:rPr>
          <w:rFonts w:hint="eastAsia" w:ascii="宋体" w:hAnsi="宋体" w:cs="宋体"/>
          <w:b/>
          <w:bCs/>
          <w:color w:val="auto"/>
          <w:sz w:val="36"/>
          <w:szCs w:val="36"/>
          <w:highlight w:val="none"/>
          <w:lang w:val="en-US" w:eastAsia="zh-CN"/>
        </w:rPr>
        <w:t xml:space="preserve">管理</w:t>
      </w:r>
      <w:r>
        <w:rPr>
          <w:rFonts w:hint="eastAsia" w:ascii="宋体" w:hAnsi="宋体" w:cs="宋体"/>
          <w:b/>
          <w:bCs/>
          <w:color w:val="auto"/>
          <w:sz w:val="36"/>
          <w:szCs w:val="36"/>
          <w:highlight w:val="none"/>
          <w:lang w:eastAsia="zh-CN"/>
        </w:rPr>
        <w:t xml:space="preserve">支队 </w:t>
      </w:r>
      <w:r/>
    </w:p>
    <w:p>
      <w:pPr>
        <w:jc w:val="center"/>
        <w:spacing w:line="360" w:lineRule="auto"/>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代理机构：江苏经纬资产土地房地产评估测绘工程咨询有限公司</w:t>
      </w:r>
      <w:r/>
    </w:p>
    <w:p>
      <w:pPr>
        <w:jc w:val="center"/>
        <w:spacing w:line="360" w:lineRule="auto"/>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line="360" w:lineRule="auto"/>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二〇二五年</w:t>
      </w:r>
      <w:r>
        <w:rPr>
          <w:rFonts w:hint="eastAsia" w:ascii="宋体" w:hAnsi="宋体" w:cs="宋体"/>
          <w:b/>
          <w:bCs/>
          <w:color w:val="auto"/>
          <w:sz w:val="36"/>
          <w:szCs w:val="36"/>
          <w:highlight w:val="none"/>
          <w:lang w:val="en-US" w:eastAsia="zh-CN"/>
        </w:rPr>
        <w:t xml:space="preserve">十</w:t>
      </w:r>
      <w:r>
        <w:rPr>
          <w:rFonts w:hint="eastAsia" w:ascii="宋体" w:hAnsi="宋体" w:cs="宋体"/>
          <w:b/>
          <w:bCs/>
          <w:color w:val="auto"/>
          <w:sz w:val="36"/>
          <w:szCs w:val="36"/>
          <w:highlight w:val="none"/>
        </w:rPr>
        <w:t xml:space="preserve">一月</w:t>
      </w:r>
      <w:r/>
    </w:p>
    <w:p>
      <w:pPr>
        <w:jc w:val="center"/>
        <w:spacing w:line="360" w:lineRule="auto"/>
        <w:rPr>
          <w:rFonts w:hint="eastAsia" w:ascii="宋体" w:hAnsi="宋体" w:cs="宋体"/>
          <w:b/>
          <w:bCs/>
          <w:color w:val="auto"/>
          <w:sz w:val="30"/>
          <w:szCs w:val="30"/>
          <w:highlight w:val="none"/>
        </w:rPr>
        <w:sectPr>
          <w:headerReference w:type="default" r:id="rId9"/>
          <w:headerReference w:type="first" r:id="rId10"/>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b/>
          <w:bCs/>
          <w:color w:val="auto"/>
          <w:sz w:val="30"/>
          <w:szCs w:val="30"/>
          <w:highlight w:val="none"/>
        </w:rPr>
      </w:r>
      <w:r/>
    </w:p>
    <w:p>
      <w:pPr>
        <w:jc w:val="center"/>
        <w:spacing w:line="360" w:lineRule="auto"/>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目  录</w:t>
      </w:r>
      <w:r/>
    </w:p>
    <w:p>
      <w:pPr>
        <w:pStyle w:val="1173"/>
        <w:ind w:firstLine="301"/>
        <w:rPr>
          <w:rFonts w:ascii="宋体" w:hAnsi="宋体" w:cs="宋体"/>
          <w:b/>
          <w:bCs/>
          <w:color w:val="auto"/>
          <w:sz w:val="30"/>
          <w:szCs w:val="30"/>
          <w:highlight w:val="none"/>
        </w:rPr>
      </w:pPr>
      <w:r>
        <w:rPr>
          <w:rFonts w:ascii="宋体" w:hAnsi="宋体" w:cs="宋体"/>
          <w:b/>
          <w:bCs/>
          <w:color w:val="auto"/>
          <w:sz w:val="30"/>
          <w:szCs w:val="30"/>
          <w:highlight w:val="none"/>
        </w:rPr>
      </w:r>
      <w:r/>
    </w:p>
    <w:p>
      <w:pPr>
        <w:rPr>
          <w:rFonts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"_Toc16887" </w:instrText>
      </w:r>
      <w:r>
        <w:rPr>
          <w:color w:val="auto"/>
          <w:highlight w:val="none"/>
        </w:rPr>
        <w:fldChar w:fldCharType="separate"/>
      </w:r>
      <w:r>
        <w:rPr>
          <w:rFonts w:hint="eastAsia" w:ascii="宋体" w:hAnsi="宋体" w:cs="宋体"/>
          <w:color w:val="auto"/>
          <w:sz w:val="28"/>
          <w:szCs w:val="28"/>
          <w:highlight w:val="none"/>
        </w:rPr>
        <w:t xml:space="preserve">第一章  竞争性磋商公告</w:t>
      </w:r>
      <w:r>
        <w:rPr>
          <w:rFonts w:hint="eastAsia" w:ascii="宋体" w:hAnsi="宋体" w:cs="宋体"/>
          <w:color w:val="auto"/>
          <w:sz w:val="28"/>
          <w:szCs w:val="28"/>
          <w:highlight w:val="none"/>
        </w:rPr>
        <w:fldChar w:fldCharType="end"/>
      </w:r>
      <w:r/>
    </w:p>
    <w:p>
      <w:pPr>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"_Toc28896" </w:instrText>
      </w:r>
      <w:r>
        <w:rPr>
          <w:color w:val="auto"/>
          <w:highlight w:val="none"/>
        </w:rPr>
        <w:fldChar w:fldCharType="separate"/>
      </w:r>
      <w:r>
        <w:rPr>
          <w:rFonts w:hint="eastAsia" w:ascii="宋体" w:hAnsi="宋体" w:cs="宋体"/>
          <w:color w:val="auto"/>
          <w:sz w:val="28"/>
          <w:szCs w:val="28"/>
          <w:highlight w:val="none"/>
        </w:rPr>
        <w:t xml:space="preserve">第二章  参加磋商的供应商须知</w:t>
      </w:r>
      <w:r>
        <w:rPr>
          <w:rFonts w:hint="eastAsia" w:ascii="宋体" w:hAnsi="宋体" w:cs="宋体"/>
          <w:color w:val="auto"/>
          <w:sz w:val="28"/>
          <w:szCs w:val="28"/>
          <w:highlight w:val="none"/>
        </w:rPr>
        <w:fldChar w:fldCharType="end"/>
      </w:r>
      <w:r/>
    </w:p>
    <w:p>
      <w:pPr>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"_Toc20325" </w:instrText>
      </w:r>
      <w:r>
        <w:rPr>
          <w:color w:val="auto"/>
          <w:highlight w:val="none"/>
        </w:rPr>
        <w:fldChar w:fldCharType="separate"/>
      </w:r>
      <w:r>
        <w:rPr>
          <w:rFonts w:hint="eastAsia" w:ascii="宋体" w:hAnsi="宋体" w:cs="宋体"/>
          <w:color w:val="auto"/>
          <w:sz w:val="28"/>
          <w:szCs w:val="28"/>
          <w:highlight w:val="none"/>
        </w:rPr>
        <w:t xml:space="preserve">第三章  合同条款及格式</w:t>
      </w:r>
      <w:r>
        <w:rPr>
          <w:rFonts w:hint="eastAsia" w:ascii="宋体" w:hAnsi="宋体" w:cs="宋体"/>
          <w:color w:val="auto"/>
          <w:sz w:val="28"/>
          <w:szCs w:val="28"/>
          <w:highlight w:val="none"/>
        </w:rPr>
        <w:fldChar w:fldCharType="end"/>
      </w:r>
      <w:r/>
    </w:p>
    <w:p>
      <w:pPr>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"_Toc32522" </w:instrText>
      </w:r>
      <w:r>
        <w:rPr>
          <w:color w:val="auto"/>
          <w:highlight w:val="none"/>
        </w:rPr>
        <w:fldChar w:fldCharType="separate"/>
      </w:r>
      <w:r>
        <w:rPr>
          <w:rFonts w:hint="eastAsia" w:ascii="宋体" w:hAnsi="宋体" w:cs="宋体"/>
          <w:color w:val="auto"/>
          <w:sz w:val="28"/>
          <w:szCs w:val="28"/>
          <w:highlight w:val="none"/>
        </w:rPr>
        <w:t xml:space="preserve">第四章  采购需求</w:t>
      </w:r>
      <w:r>
        <w:rPr>
          <w:rFonts w:hint="eastAsia" w:ascii="宋体" w:hAnsi="宋体" w:cs="宋体"/>
          <w:color w:val="auto"/>
          <w:sz w:val="28"/>
          <w:szCs w:val="28"/>
          <w:highlight w:val="none"/>
        </w:rPr>
        <w:fldChar w:fldCharType="end"/>
      </w:r>
      <w:r/>
    </w:p>
    <w:p>
      <w:pPr>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"_Toc10158" </w:instrText>
      </w:r>
      <w:r>
        <w:rPr>
          <w:color w:val="auto"/>
          <w:highlight w:val="none"/>
        </w:rPr>
        <w:fldChar w:fldCharType="separate"/>
      </w:r>
      <w:r>
        <w:rPr>
          <w:rFonts w:hint="eastAsia" w:ascii="宋体" w:hAnsi="宋体" w:cs="宋体"/>
          <w:color w:val="auto"/>
          <w:sz w:val="28"/>
          <w:szCs w:val="28"/>
          <w:highlight w:val="none"/>
        </w:rPr>
        <w:t xml:space="preserve">第五章  评审方法和评审标准</w:t>
      </w:r>
      <w:r>
        <w:rPr>
          <w:rFonts w:hint="eastAsia" w:ascii="宋体" w:hAnsi="宋体" w:cs="宋体"/>
          <w:color w:val="auto"/>
          <w:sz w:val="28"/>
          <w:szCs w:val="28"/>
          <w:highlight w:val="none"/>
        </w:rPr>
        <w:fldChar w:fldCharType="end"/>
      </w:r>
      <w:r/>
    </w:p>
    <w:p>
      <w:pPr>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"_Toc31610" </w:instrText>
      </w:r>
      <w:r>
        <w:rPr>
          <w:color w:val="auto"/>
          <w:highlight w:val="none"/>
        </w:rPr>
        <w:fldChar w:fldCharType="separate"/>
      </w:r>
      <w:r>
        <w:rPr>
          <w:rFonts w:hint="eastAsia" w:ascii="宋体" w:hAnsi="宋体" w:cs="宋体"/>
          <w:color w:val="auto"/>
          <w:sz w:val="28"/>
          <w:szCs w:val="28"/>
          <w:highlight w:val="none"/>
        </w:rPr>
        <w:t xml:space="preserve">第六章  响应文件的组成和格式</w:t>
      </w:r>
      <w:r>
        <w:rPr>
          <w:rFonts w:hint="eastAsia" w:ascii="宋体" w:hAnsi="宋体" w:cs="宋体"/>
          <w:color w:val="auto"/>
          <w:sz w:val="28"/>
          <w:szCs w:val="28"/>
          <w:highlight w:val="none"/>
        </w:rPr>
        <w:fldChar w:fldCharType="end"/>
      </w:r>
      <w:r/>
    </w:p>
    <w:p>
      <w:pPr>
        <w:rPr>
          <w:color w:val="auto"/>
          <w:highlight w:val="none"/>
        </w:rPr>
        <w:sectPr>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color w:val="auto"/>
          <w:sz w:val="28"/>
          <w:szCs w:val="28"/>
          <w:highlight w:val="none"/>
        </w:rPr>
        <w:fldChar w:fldCharType="end"/>
      </w:r>
      <w:r/>
    </w:p>
    <w:p>
      <w:pPr>
        <w:pStyle w:val="1147"/>
        <w:numPr>
          <w:ilvl w:val="0"/>
          <w:numId w:val="2"/>
        </w:numPr>
        <w:spacing w:line="480" w:lineRule="auto"/>
        <w:rPr>
          <w:color w:val="auto"/>
          <w:sz w:val="32"/>
          <w:szCs w:val="32"/>
          <w:highlight w:val="none"/>
        </w:rPr>
      </w:pPr>
      <w:r>
        <w:rPr>
          <w:color w:val="auto"/>
          <w:sz w:val="32"/>
          <w:szCs w:val="32"/>
          <w:highlight w:val="none"/>
        </w:rPr>
      </w:r>
      <w:r>
        <w:rPr>
          <w:color w:val="auto"/>
          <w:sz w:val="32"/>
          <w:szCs w:val="32"/>
          <w:highlight w:val="none"/>
        </w:rPr>
        <w:t xml:space="preserve"> </w:t>
      </w:r>
      <w:bookmarkStart w:id="0" w:name="_Toc16887"/>
      <w:r>
        <w:rPr>
          <w:color w:val="auto"/>
          <w:sz w:val="32"/>
          <w:szCs w:val="32"/>
          <w:highlight w:val="none"/>
        </w:rPr>
        <w:t xml:space="preserve">竞争性磋商</w:t>
      </w:r>
      <w:r>
        <w:rPr>
          <w:rFonts w:hint="eastAsia"/>
          <w:color w:val="auto"/>
          <w:sz w:val="32"/>
          <w:szCs w:val="32"/>
          <w:highlight w:val="none"/>
        </w:rPr>
        <w:t xml:space="preserve">公告</w:t>
      </w:r>
      <w:bookmarkEnd w:id="0"/>
      <w:r/>
      <w:r/>
    </w:p>
    <w:p>
      <w:pPr>
        <w:spacing w:line="420" w:lineRule="exact"/>
        <w:rPr>
          <w:rFonts w:ascii="宋体" w:hAnsi="宋体" w:cs="宋体"/>
          <w:color w:val="auto"/>
          <w:spacing w:val="-2"/>
          <w:sz w:val="24"/>
          <w:highlight w:val="none"/>
        </w:rPr>
        <w:pBdr>
          <w:top w:val="single" w:color="auto" w:sz="4" w:space="1"/>
          <w:left w:val="single" w:color="auto" w:sz="4" w:space="4"/>
          <w:bottom w:val="single" w:color="auto" w:sz="4" w:space="1"/>
          <w:right w:val="single" w:color="auto" w:sz="4" w:space="4"/>
        </w:pBdr>
      </w:pPr>
      <w:r/>
      <w:bookmarkStart w:id="1" w:name="_Toc61149549"/>
      <w:r/>
      <w:bookmarkStart w:id="2" w:name="_Toc14577347"/>
      <w:r/>
      <w:bookmarkStart w:id="3" w:name="_Toc513029209"/>
      <w:r>
        <w:rPr>
          <w:rFonts w:hint="eastAsia" w:ascii="宋体" w:hAnsi="宋体" w:cs="宋体"/>
          <w:color w:val="auto"/>
          <w:spacing w:val="-2"/>
          <w:sz w:val="24"/>
          <w:highlight w:val="none"/>
        </w:rPr>
        <w:t xml:space="preserve">项目概况</w:t>
      </w:r>
      <w:r/>
    </w:p>
    <w:p>
      <w:pPr>
        <w:ind w:firstLine="480"/>
        <w:spacing w:line="420" w:lineRule="exact"/>
        <w:rPr>
          <w:rFonts w:ascii="宋体" w:hAnsi="宋体" w:cs="宋体"/>
          <w:color w:val="auto"/>
          <w:sz w:val="24"/>
          <w:highlight w:val="none"/>
        </w:rPr>
        <w:pBdr>
          <w:top w:val="single" w:color="auto" w:sz="4" w:space="1"/>
          <w:left w:val="single" w:color="auto" w:sz="4" w:space="4"/>
          <w:bottom w:val="single" w:color="auto" w:sz="4" w:space="1"/>
          <w:right w:val="single" w:color="auto" w:sz="4" w:space="4"/>
        </w:pBdr>
      </w:pPr>
      <w:r/>
      <w:bookmarkStart w:id="4" w:name="_Toc28359012"/>
      <w:r/>
      <w:bookmarkStart w:id="5" w:name="_Toc35393798"/>
      <w:r/>
      <w:bookmarkStart w:id="6" w:name="_Toc28359089"/>
      <w:r/>
      <w:bookmarkStart w:id="7" w:name="_Toc35393629"/>
      <w:r>
        <w:rPr>
          <w:rFonts w:hint="eastAsia" w:ascii="宋体" w:hAnsi="宋体" w:cs="宋体"/>
          <w:color w:val="auto"/>
          <w:sz w:val="24"/>
          <w:highlight w:val="none"/>
          <w:lang w:eastAsia="zh-CN"/>
        </w:rPr>
        <w:t xml:space="preserve">交警支队2025-2026年科技运维项目</w:t>
      </w:r>
      <w:r>
        <w:rPr>
          <w:rFonts w:hint="eastAsia" w:ascii="宋体" w:hAnsi="宋体" w:cs="宋体"/>
          <w:color w:val="auto"/>
          <w:sz w:val="24"/>
          <w:highlight w:val="none"/>
        </w:rPr>
        <w:t xml:space="preserve">JSZC-321200-JWPG-C2025-00</w:t>
      </w:r>
      <w:r>
        <w:rPr>
          <w:rFonts w:hint="eastAsia" w:ascii="宋体" w:hAnsi="宋体" w:cs="宋体"/>
          <w:color w:val="auto"/>
          <w:sz w:val="24"/>
          <w:highlight w:val="none"/>
          <w:lang w:val="en-US" w:eastAsia="zh-CN"/>
        </w:rPr>
        <w:t xml:space="preserve">21</w:t>
      </w:r>
      <w:r>
        <w:rPr>
          <w:rFonts w:hint="eastAsia" w:ascii="宋体" w:hAnsi="宋体" w:cs="宋体"/>
          <w:color w:val="auto"/>
          <w:sz w:val="24"/>
          <w:highlight w:val="none"/>
        </w:rPr>
        <w:t xml:space="preserve">采购项目的潜在供应商应在江苏政府采购“苏采云”系统获取采购文件，并于2025-</w:t>
      </w: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18</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09</w:t>
      </w:r>
      <w:r>
        <w:rPr>
          <w:rFonts w:hint="eastAsia" w:ascii="宋体" w:hAnsi="宋体" w:cs="宋体"/>
          <w:color w:val="auto"/>
          <w:sz w:val="24"/>
          <w:highlight w:val="none"/>
        </w:rPr>
        <w:t xml:space="preserve">:00</w:t>
      </w:r>
      <w:r>
        <w:rPr>
          <w:rFonts w:hint="eastAsia" w:ascii="宋体" w:hAnsi="宋体" w:cs="宋体"/>
          <w:bCs/>
          <w:color w:val="auto"/>
          <w:sz w:val="24"/>
          <w:highlight w:val="none"/>
        </w:rPr>
        <w:t xml:space="preserve">（北京时间）前提交响应文件</w:t>
      </w:r>
      <w:r>
        <w:rPr>
          <w:rFonts w:hint="eastAsia" w:ascii="宋体" w:hAnsi="宋体" w:cs="宋体"/>
          <w:color w:val="auto"/>
          <w:sz w:val="24"/>
          <w:highlight w:val="none"/>
        </w:rPr>
        <w:t xml:space="preserve">。</w:t>
      </w:r>
      <w:r/>
    </w:p>
    <w:p>
      <w:pPr>
        <w:pStyle w:val="1148"/>
        <w:numPr>
          <w:ilvl w:val="1"/>
          <w:numId w:val="0"/>
        </w:numPr>
        <w:jc w:val="both"/>
        <w:keepLines w:val="0"/>
        <w:keepNext w:val="0"/>
        <w:spacing w:before="0" w:after="0" w:line="48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一、项目基本情况</w:t>
      </w:r>
      <w:bookmarkEnd w:id="4"/>
      <w:r/>
      <w:bookmarkEnd w:id="5"/>
      <w:r/>
      <w:bookmarkEnd w:id="6"/>
      <w:r/>
      <w:bookmarkEnd w:id="7"/>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项目编号：JSZC-321200-JWPG-C2025-00</w:t>
      </w:r>
      <w:r>
        <w:rPr>
          <w:rFonts w:hint="eastAsia" w:ascii="宋体" w:hAnsi="宋体" w:cs="宋体"/>
          <w:color w:val="auto"/>
          <w:sz w:val="24"/>
          <w:highlight w:val="none"/>
          <w:lang w:val="en-US" w:eastAsia="zh-CN"/>
        </w:rPr>
        <w:t xml:space="preserve">21</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交警支队2025-2026年科技运维项目</w:t>
      </w:r>
      <w:r/>
    </w:p>
    <w:p>
      <w:pPr>
        <w:ind w:firstLine="480"/>
        <w:spacing w:line="360" w:lineRule="auto"/>
        <w:rPr>
          <w:rFonts w:eastAsia="楷体_GB2312"/>
          <w:color w:val="auto"/>
          <w:sz w:val="24"/>
          <w:highlight w:val="none"/>
        </w:rPr>
      </w:pPr>
      <w:r>
        <w:rPr>
          <w:rFonts w:hint="eastAsia" w:ascii="宋体" w:hAnsi="宋体" w:cs="宋体"/>
          <w:color w:val="auto"/>
          <w:sz w:val="24"/>
          <w:highlight w:val="none"/>
        </w:rPr>
        <w:t xml:space="preserve">采购方式：竞争性磋商</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预算金额：</w:t>
      </w:r>
      <w:r>
        <w:rPr>
          <w:rFonts w:hint="eastAsia" w:ascii="宋体" w:hAnsi="宋体" w:cs="宋体"/>
          <w:color w:val="auto"/>
          <w:sz w:val="24"/>
          <w:highlight w:val="none"/>
          <w:lang w:eastAsia="zh-CN"/>
        </w:rPr>
        <w:t xml:space="preserve">19</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.3096万元</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最高限价：</w:t>
      </w:r>
      <w:r>
        <w:rPr>
          <w:rFonts w:hint="eastAsia" w:ascii="宋体" w:hAnsi="宋体" w:cs="宋体"/>
          <w:color w:val="auto"/>
          <w:sz w:val="24"/>
          <w:highlight w:val="none"/>
          <w:lang w:eastAsia="zh-CN"/>
        </w:rPr>
        <w:t xml:space="preserve">19</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.3096万元</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采购需求：为持续为交通管理实战应用工作提供支撑保障，确保各类平台系统良好、稳定地运行，按照专业化、精细化管理要求，拟对过保的视频监控系统设备、机房及软件平台等开展科技维保服务；详见采购文件第四章</w:t>
      </w:r>
      <w:r>
        <w:rPr>
          <w:rFonts w:hint="eastAsia" w:ascii="宋体" w:hAnsi="宋体" w:cs="宋体"/>
          <w:color w:val="auto"/>
          <w:sz w:val="24"/>
          <w:highlight w:val="none"/>
          <w:lang w:eastAsia="zh-CN"/>
        </w:rPr>
        <w:t xml:space="preserve">。</w:t>
      </w:r>
      <w:r/>
    </w:p>
    <w:p>
      <w:pPr>
        <w:ind w:firstLine="480"/>
        <w:spacing w:line="360" w:lineRule="auto"/>
        <w:rPr>
          <w:rFonts w:hint="default" w:ascii="宋体" w:hAnsi="宋体" w:cs="宋体"/>
          <w:color w:val="auto"/>
          <w:sz w:val="24"/>
          <w:szCs w:val="20"/>
          <w:highlight w:val="none"/>
          <w:lang w:val="en-US" w:eastAsia="zh-CN"/>
        </w:rPr>
      </w:pPr>
      <w:r>
        <w:rPr>
          <w:rFonts w:hint="eastAsia" w:ascii="宋体" w:hAnsi="宋体" w:cs="宋体"/>
          <w:color w:val="auto"/>
          <w:sz w:val="24"/>
          <w:highlight w:val="none"/>
          <w:shd w:val="clear" w:color="auto" w:fill="ffffff"/>
        </w:rPr>
        <w:t xml:space="preserve">合同履行期限</w:t>
      </w:r>
      <w:r>
        <w:rPr>
          <w:rFonts w:hint="eastAsia" w:ascii="宋体" w:hAnsi="宋体" w:cs="宋体"/>
          <w:color w:val="auto"/>
          <w:sz w:val="24"/>
          <w:szCs w:val="20"/>
          <w:highlight w:val="none"/>
        </w:rPr>
        <w:t xml:space="preserve">：自合同签订之日</w:t>
      </w:r>
      <w:r>
        <w:rPr>
          <w:rFonts w:hint="eastAsia" w:ascii="宋体" w:hAnsi="宋体" w:cs="宋体"/>
          <w:color w:val="auto"/>
          <w:sz w:val="24"/>
          <w:szCs w:val="20"/>
          <w:highlight w:val="none"/>
          <w:lang w:val="en-US" w:eastAsia="zh-CN"/>
        </w:rPr>
        <w:t xml:space="preserve">起15个月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本项目不接受联合体。</w:t>
      </w:r>
      <w:r/>
    </w:p>
    <w:p>
      <w:pPr>
        <w:pStyle w:val="1148"/>
        <w:numPr>
          <w:ilvl w:val="1"/>
          <w:numId w:val="0"/>
        </w:numPr>
        <w:jc w:val="both"/>
        <w:keepLines w:val="0"/>
        <w:keepNext w:val="0"/>
        <w:spacing w:before="0" w:after="0" w:line="480" w:lineRule="auto"/>
        <w:rPr>
          <w:rFonts w:ascii="宋体" w:hAnsi="宋体" w:eastAsia="宋体" w:cs="宋体"/>
          <w:color w:val="auto"/>
          <w:sz w:val="24"/>
          <w:szCs w:val="24"/>
          <w:highlight w:val="none"/>
        </w:rPr>
      </w:pPr>
      <w:r/>
      <w:bookmarkStart w:id="8" w:name="_Toc35393799"/>
      <w:r/>
      <w:bookmarkStart w:id="9" w:name="_Toc35393630"/>
      <w:r/>
      <w:bookmarkStart w:id="10" w:name="_Toc28359090"/>
      <w:r/>
      <w:bookmarkStart w:id="11" w:name="_Toc28359013"/>
      <w:r>
        <w:rPr>
          <w:rFonts w:hint="eastAsia" w:ascii="宋体" w:hAnsi="宋体" w:eastAsia="宋体" w:cs="宋体"/>
          <w:color w:val="auto"/>
          <w:sz w:val="24"/>
          <w:szCs w:val="24"/>
          <w:highlight w:val="none"/>
        </w:rPr>
        <w:t xml:space="preserve">二、申请人的资格要求</w:t>
      </w:r>
      <w:bookmarkEnd w:id="8"/>
      <w:r/>
      <w:bookmarkEnd w:id="9"/>
      <w:r/>
      <w:bookmarkEnd w:id="10"/>
      <w:r/>
      <w:bookmarkEnd w:id="11"/>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（一）满足《中华人民共和国政府采购法》第二十二条规定：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1.具有独立承担民事责任的能力；</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2.具有良好的商业信誉和健全的财务会计制度；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3.具有履行合同所必需的设备和专业技术能力；</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4.有依法缴纳税收和社会保障资金的良好记录；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5.参加政府采购活动前三年内，在经营活动中没有重大违法记录；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6.法律、行政法规规定的其他条件。</w:t>
      </w:r>
      <w:r/>
    </w:p>
    <w:p>
      <w:pPr>
        <w:ind w:firstLine="480"/>
        <w:spacing w:line="360" w:lineRule="auto"/>
        <w:rPr>
          <w:rFonts w:ascii="宋体" w:hAnsi="宋体" w:cs="宋体"/>
          <w:color w:val="auto"/>
          <w:highlight w:val="none"/>
        </w:rPr>
      </w:pPr>
      <w:r>
        <w:rPr>
          <w:rFonts w:hint="eastAsia" w:ascii="宋体" w:hAnsi="宋体" w:cs="宋体"/>
          <w:color w:val="auto"/>
          <w:sz w:val="24"/>
          <w:highlight w:val="none"/>
        </w:rPr>
        <w:t xml:space="preserve">（二）落实政府采购政策需满足的资格要求：本项目专门面向中小企业，供应商应为中小微企业、监狱企业、残疾人福利性单位。</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（三）本项目的特定资格要求：无。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（四）未被“信用中国”网站（www.creditchina.gov.cn）列入失信被执行人、重大税收违法案件当事人名单、政府采购严重违法失信行为记录名单；</w:t>
      </w:r>
      <w:r/>
    </w:p>
    <w:p>
      <w:pPr>
        <w:ind w:firstLine="480"/>
        <w:spacing w:line="360" w:lineRule="auto"/>
        <w:rPr>
          <w:rFonts w:ascii="宋体" w:hAnsi="宋体" w:cs="宋体"/>
          <w:color w:val="auto"/>
          <w:sz w:val="24"/>
          <w:highlight w:val="none"/>
        </w:rPr>
      </w:pPr>
      <w:r/>
      <w:bookmarkStart w:id="12" w:name="_Toc28359014"/>
      <w:r/>
      <w:bookmarkStart w:id="13" w:name="_Toc35393800"/>
      <w:r/>
      <w:bookmarkStart w:id="14" w:name="_Toc35393631"/>
      <w:r/>
      <w:bookmarkStart w:id="15" w:name="_Toc28359091"/>
      <w:r>
        <w:rPr>
          <w:rFonts w:hint="eastAsia" w:ascii="宋体" w:hAnsi="宋体" w:cs="宋体"/>
          <w:color w:val="auto"/>
          <w:sz w:val="24"/>
          <w:highlight w:val="none"/>
        </w:rPr>
        <w:t xml:space="preserve">注：1.凡为本采购项目提供整体设计、规范编制或者项目管理、监理、检测等服务的供应商，不得再参加本采购项目的其他采购活动；</w:t>
      </w:r>
      <w:r/>
    </w:p>
    <w:p>
      <w:pPr>
        <w:ind w:firstLine="960"/>
        <w:spacing w:line="360" w:lineRule="auto"/>
        <w:rPr>
          <w:rFonts w:ascii="宋体" w:hAnsi="宋体" w:cs="宋体"/>
          <w:color w:val="auto"/>
          <w:sz w:val="24"/>
          <w:highlight w:val="none"/>
        </w:rPr>
      </w:pPr>
      <w:r>
        <w:rPr>
          <w:rFonts w:hint="eastAsia" w:ascii="宋体" w:hAnsi="宋体" w:cs="宋体"/>
          <w:color w:val="auto"/>
          <w:sz w:val="24"/>
          <w:highlight w:val="none"/>
        </w:rPr>
        <w:t xml:space="preserve">2.单位法定代表人/负责人为同一人或者存在直接控股、管理关系的不同供应商，不得参加同一合同项下的政府采购活动。</w:t>
      </w:r>
      <w:r/>
    </w:p>
    <w:p>
      <w:pPr>
        <w:spacing w:line="360" w:lineRule="auto"/>
        <w:rPr>
          <w:rFonts w:ascii="宋体" w:hAnsi="宋体" w:cs="宋体"/>
          <w:color w:val="auto"/>
          <w:sz w:val="24"/>
          <w:highlight w:val="none"/>
        </w:rPr>
      </w:pPr>
      <w:r>
        <w:rPr>
          <w:rFonts w:hint="eastAsia" w:ascii="宋体" w:hAnsi="宋体" w:cs="宋体"/>
          <w:b/>
          <w:color w:val="auto"/>
          <w:sz w:val="24"/>
          <w:highlight w:val="none"/>
        </w:rPr>
        <w:t xml:space="preserve">三、获取采购文件</w:t>
      </w:r>
      <w:bookmarkEnd w:id="12"/>
      <w:r/>
      <w:bookmarkEnd w:id="13"/>
      <w:r/>
      <w:bookmarkEnd w:id="14"/>
      <w:r/>
      <w:bookmarkEnd w:id="15"/>
      <w:r/>
      <w:r/>
    </w:p>
    <w:p>
      <w:pPr>
        <w:ind w:firstLine="480"/>
        <w:spacing w:line="360" w:lineRule="auto"/>
        <w:rPr>
          <w:rFonts w:ascii="宋体" w:hAnsi="宋体" w:cs="宋体"/>
          <w:color w:val="auto"/>
          <w:sz w:val="24"/>
          <w:highlight w:val="none"/>
        </w:rPr>
      </w:pPr>
      <w:r/>
      <w:bookmarkStart w:id="16" w:name="_Toc28359092"/>
      <w:r/>
      <w:bookmarkStart w:id="17" w:name="_Toc35393632"/>
      <w:r/>
      <w:bookmarkStart w:id="18" w:name="_Toc35393801"/>
      <w:r/>
      <w:bookmarkStart w:id="19" w:name="_Toc28359015"/>
      <w:r>
        <w:rPr>
          <w:rFonts w:hint="eastAsia" w:ascii="宋体" w:hAnsi="宋体" w:cs="宋体"/>
          <w:color w:val="auto"/>
          <w:sz w:val="24"/>
          <w:highlight w:val="none"/>
        </w:rPr>
        <w:t xml:space="preserve">时间：自公告发布之日起5个工作日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地点：江苏政府采购“苏采云”系统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方式：供应商完成注册并办理CA证书后登录江苏政府采购“苏采云”系统下载本项目采购文件。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售价：0.00元</w:t>
      </w:r>
      <w:bookmarkEnd w:id="16"/>
      <w:r/>
      <w:bookmarkEnd w:id="17"/>
      <w:r/>
      <w:bookmarkEnd w:id="18"/>
      <w:r/>
      <w:bookmarkEnd w:id="19"/>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四、响应文件提交</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截止时间：2025-</w:t>
      </w: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18 </w:t>
      </w:r>
      <w:r>
        <w:rPr>
          <w:rFonts w:hint="eastAsia" w:ascii="宋体" w:hAnsi="宋体" w:cs="宋体"/>
          <w:color w:val="auto"/>
          <w:sz w:val="24"/>
          <w:highlight w:val="none"/>
        </w:rPr>
        <w:t xml:space="preserve">09:00（北京时间）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地点：江苏政府采购“苏采云”系统不见面开标大厅</w:t>
      </w:r>
      <w:r/>
    </w:p>
    <w:p>
      <w:pPr>
        <w:spacing w:line="360" w:lineRule="auto"/>
        <w:rPr>
          <w:rFonts w:ascii="宋体" w:hAnsi="宋体" w:cs="宋体"/>
          <w:b/>
          <w:bCs/>
          <w:color w:val="auto"/>
          <w:sz w:val="24"/>
          <w:highlight w:val="none"/>
        </w:rPr>
      </w:pPr>
      <w:r/>
      <w:bookmarkStart w:id="20" w:name="_Toc35393633"/>
      <w:r/>
      <w:bookmarkStart w:id="21" w:name="_Toc35393802"/>
      <w:r/>
      <w:bookmarkStart w:id="22" w:name="_Toc28359093"/>
      <w:r/>
      <w:bookmarkStart w:id="23" w:name="_Toc28359016"/>
      <w:r>
        <w:rPr>
          <w:rFonts w:hint="eastAsia" w:ascii="宋体" w:hAnsi="宋体" w:cs="宋体"/>
          <w:b/>
          <w:bCs/>
          <w:color w:val="auto"/>
          <w:sz w:val="24"/>
          <w:highlight w:val="none"/>
        </w:rPr>
        <w:t xml:space="preserve">五、开启</w:t>
      </w:r>
      <w:bookmarkEnd w:id="20"/>
      <w:r/>
      <w:bookmarkEnd w:id="21"/>
      <w:r/>
      <w:bookmarkEnd w:id="22"/>
      <w:r/>
      <w:bookmarkEnd w:id="23"/>
      <w:r/>
      <w:r/>
    </w:p>
    <w:p>
      <w:pPr>
        <w:ind w:firstLine="480"/>
        <w:spacing w:line="360" w:lineRule="auto"/>
        <w:rPr>
          <w:rFonts w:ascii="宋体" w:hAnsi="宋体" w:cs="宋体"/>
          <w:bCs/>
          <w:color w:val="auto"/>
          <w:sz w:val="24"/>
          <w:highlight w:val="none"/>
          <w:u w:val="single"/>
        </w:rPr>
      </w:pPr>
      <w:r>
        <w:rPr>
          <w:rFonts w:hint="eastAsia" w:ascii="宋体" w:hAnsi="宋体" w:cs="宋体"/>
          <w:color w:val="auto"/>
          <w:sz w:val="24"/>
          <w:highlight w:val="none"/>
        </w:rPr>
        <w:t xml:space="preserve">时间：2025-</w:t>
      </w: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18</w:t>
      </w:r>
      <w:r>
        <w:rPr>
          <w:rFonts w:hint="eastAsia" w:ascii="宋体" w:hAnsi="宋体" w:cs="宋体"/>
          <w:color w:val="auto"/>
          <w:sz w:val="24"/>
          <w:highlight w:val="none"/>
        </w:rPr>
        <w:t xml:space="preserve"> 09:00（北京时间）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地点：江苏政府采购“苏采云”系统不见面开标大厅</w:t>
      </w:r>
      <w:r/>
    </w:p>
    <w:p>
      <w:pPr>
        <w:spacing w:line="360" w:lineRule="auto"/>
        <w:rPr>
          <w:rFonts w:ascii="宋体" w:hAnsi="宋体" w:cs="宋体"/>
          <w:b/>
          <w:bCs/>
          <w:color w:val="auto"/>
          <w:sz w:val="24"/>
          <w:highlight w:val="none"/>
        </w:rPr>
      </w:pPr>
      <w:r/>
      <w:bookmarkStart w:id="24" w:name="_Toc35393634"/>
      <w:r/>
      <w:bookmarkStart w:id="25" w:name="_Toc35393803"/>
      <w:r/>
      <w:bookmarkStart w:id="26" w:name="_Toc28359094"/>
      <w:r/>
      <w:bookmarkStart w:id="27" w:name="_Toc28359017"/>
      <w:r>
        <w:rPr>
          <w:rFonts w:hint="eastAsia" w:ascii="宋体" w:hAnsi="宋体" w:cs="宋体"/>
          <w:b/>
          <w:bCs/>
          <w:color w:val="auto"/>
          <w:sz w:val="24"/>
          <w:highlight w:val="none"/>
        </w:rPr>
        <w:t xml:space="preserve">六、公告期限</w:t>
      </w:r>
      <w:bookmarkEnd w:id="24"/>
      <w:r/>
      <w:bookmarkEnd w:id="25"/>
      <w:r/>
      <w:bookmarkEnd w:id="26"/>
      <w:r/>
      <w:bookmarkEnd w:id="27"/>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自本公告发布之日起5个工作日。</w:t>
      </w:r>
      <w:bookmarkStart w:id="28" w:name="_Toc35393805"/>
      <w:r/>
      <w:bookmarkStart w:id="29" w:name="_Toc35393636"/>
      <w:r/>
      <w:bookmarkStart w:id="30" w:name="_Toc28359018"/>
      <w:r/>
      <w:bookmarkStart w:id="31" w:name="_Toc28359095"/>
      <w:r/>
      <w:r/>
    </w:p>
    <w:p>
      <w:pPr>
        <w:numPr>
          <w:ilvl w:val="0"/>
          <w:numId w:val="3"/>
        </w:numPr>
        <w:jc w:val="left"/>
        <w:spacing w:line="360" w:lineRule="auto"/>
        <w:widowControl/>
        <w:rPr>
          <w:b/>
          <w:bCs/>
          <w:color w:val="auto"/>
          <w:sz w:val="24"/>
          <w:highlight w:val="none"/>
        </w:rPr>
      </w:pPr>
      <w:r>
        <w:rPr>
          <w:b/>
          <w:bCs/>
          <w:color w:val="auto"/>
          <w:sz w:val="24"/>
          <w:highlight w:val="none"/>
        </w:rPr>
        <w:t xml:space="preserve">其他补充事项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1.采购项目需要落实的政府采购政策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政府采购促进中小企业发展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政府采购支持监狱企业发展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政府采购促进残疾人就业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政府采购鼓励采购绿色节能环保产品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商品包装环保要求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rPr>
        <w:t xml:space="preserve">2.</w:t>
      </w:r>
      <w:r>
        <w:rPr>
          <w:rFonts w:hint="eastAsia" w:ascii="宋体" w:hAnsi="宋体" w:cs="宋体"/>
          <w:color w:val="auto"/>
          <w:sz w:val="24"/>
          <w:highlight w:val="none"/>
        </w:rPr>
        <w:t xml:space="preserve">本项目采用电子化交易模式，具体详见《江苏省政府采购管理交易系统（苏采云）供应商操作指南》，特别注意以下事项：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rPr>
        <w:t xml:space="preserve">1</w:t>
      </w:r>
      <w:r>
        <w:rPr>
          <w:rFonts w:hint="eastAsia" w:ascii="宋体" w:hAnsi="宋体" w:cs="宋体"/>
          <w:color w:val="auto"/>
          <w:sz w:val="24"/>
          <w:highlight w:val="none"/>
        </w:rPr>
        <w:t xml:space="preserve">）“苏采云”系统的网址为：</w:t>
      </w:r>
      <w:r>
        <w:rPr>
          <w:rFonts w:hint="eastAsia" w:ascii="宋体" w:hAnsi="宋体" w:cs="宋体"/>
          <w:color w:val="auto"/>
          <w:sz w:val="24"/>
          <w:highlight w:val="none"/>
          <w:lang w:val="en-US"/>
        </w:rPr>
        <w:t xml:space="preserve">http://jszfcg.jsczt.cn/</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rPr>
        <w:t xml:space="preserve">2</w:t>
      </w:r>
      <w:r>
        <w:rPr>
          <w:rFonts w:hint="eastAsia" w:ascii="宋体" w:hAnsi="宋体" w:cs="宋体"/>
          <w:color w:val="auto"/>
          <w:sz w:val="24"/>
          <w:highlight w:val="none"/>
        </w:rPr>
        <w:t xml:space="preserve">）投标供应商需办理“</w:t>
      </w:r>
      <w:r>
        <w:rPr>
          <w:rFonts w:hint="eastAsia" w:ascii="宋体" w:hAnsi="宋体" w:cs="宋体"/>
          <w:color w:val="auto"/>
          <w:sz w:val="24"/>
          <w:highlight w:val="none"/>
          <w:lang w:val="en-US"/>
        </w:rPr>
        <w:t xml:space="preserve">CA </w:t>
      </w:r>
      <w:r>
        <w:rPr>
          <w:rFonts w:hint="eastAsia" w:ascii="宋体" w:hAnsi="宋体" w:cs="宋体"/>
          <w:color w:val="auto"/>
          <w:sz w:val="24"/>
          <w:highlight w:val="none"/>
        </w:rPr>
        <w:t xml:space="preserve">数字证书”的，可参阅“江苏政府采购网</w:t>
      </w:r>
      <w:r>
        <w:rPr>
          <w:rFonts w:hint="eastAsia" w:ascii="宋体" w:hAnsi="宋体" w:cs="宋体"/>
          <w:color w:val="auto"/>
          <w:sz w:val="24"/>
          <w:highlight w:val="none"/>
          <w:lang w:val="en-US"/>
        </w:rPr>
        <w:t xml:space="preserve">/</w:t>
      </w:r>
      <w:r>
        <w:rPr>
          <w:rFonts w:hint="eastAsia" w:ascii="宋体" w:hAnsi="宋体" w:cs="宋体"/>
          <w:color w:val="auto"/>
          <w:sz w:val="24"/>
          <w:highlight w:val="none"/>
        </w:rPr>
        <w:t xml:space="preserve">办事指南</w:t>
      </w:r>
      <w:r>
        <w:rPr>
          <w:rFonts w:hint="eastAsia" w:ascii="宋体" w:hAnsi="宋体" w:cs="宋体"/>
          <w:color w:val="auto"/>
          <w:sz w:val="24"/>
          <w:highlight w:val="none"/>
          <w:lang w:val="en-US"/>
        </w:rPr>
        <w:t xml:space="preserve">/</w:t>
      </w:r>
      <w:r>
        <w:rPr>
          <w:rFonts w:hint="eastAsia" w:ascii="宋体" w:hAnsi="宋体" w:cs="宋体"/>
          <w:color w:val="auto"/>
          <w:sz w:val="24"/>
          <w:highlight w:val="none"/>
        </w:rPr>
        <w:t xml:space="preserve">资料下载”中有关资料。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rPr>
        <w:t xml:space="preserve">3</w:t>
      </w:r>
      <w:r>
        <w:rPr>
          <w:rFonts w:hint="eastAsia" w:ascii="宋体" w:hAnsi="宋体" w:cs="宋体"/>
          <w:color w:val="auto"/>
          <w:sz w:val="24"/>
          <w:highlight w:val="none"/>
        </w:rPr>
        <w:t xml:space="preserve">）供应商应当通过“苏采云”系统提交电子投标文件。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rPr>
        <w:t xml:space="preserve">4</w:t>
      </w:r>
      <w:r>
        <w:rPr>
          <w:rFonts w:hint="eastAsia" w:ascii="宋体" w:hAnsi="宋体" w:cs="宋体"/>
          <w:color w:val="auto"/>
          <w:sz w:val="24"/>
          <w:highlight w:val="none"/>
        </w:rPr>
        <w:t xml:space="preserve">）</w:t>
      </w:r>
      <w:r>
        <w:rPr>
          <w:rFonts w:hint="eastAsia" w:ascii="宋体" w:hAnsi="宋体" w:cs="宋体"/>
          <w:color w:val="auto"/>
          <w:sz w:val="24"/>
          <w:highlight w:val="none"/>
          <w:lang w:val="en-US"/>
        </w:rPr>
        <w:t xml:space="preserve">CA</w:t>
      </w:r>
      <w:r>
        <w:rPr>
          <w:rFonts w:hint="eastAsia" w:ascii="宋体" w:hAnsi="宋体" w:cs="宋体"/>
          <w:color w:val="auto"/>
          <w:sz w:val="24"/>
          <w:highlight w:val="none"/>
        </w:rPr>
        <w:t xml:space="preserve">办理电话：</w:t>
      </w:r>
      <w:r>
        <w:rPr>
          <w:rFonts w:hint="eastAsia" w:ascii="宋体" w:hAnsi="宋体" w:cs="宋体"/>
          <w:color w:val="auto"/>
          <w:sz w:val="24"/>
          <w:highlight w:val="none"/>
          <w:lang w:val="en-US"/>
        </w:rPr>
        <w:t xml:space="preserve">0523-81568158</w:t>
      </w:r>
      <w:r>
        <w:rPr>
          <w:rFonts w:hint="eastAsia" w:ascii="宋体" w:hAnsi="宋体" w:cs="宋体"/>
          <w:color w:val="auto"/>
          <w:sz w:val="24"/>
          <w:highlight w:val="none"/>
        </w:rPr>
        <w:t xml:space="preserve">。技术支持电话：</w:t>
      </w:r>
      <w:r>
        <w:rPr>
          <w:rFonts w:hint="eastAsia" w:ascii="宋体" w:hAnsi="宋体" w:cs="宋体"/>
          <w:color w:val="auto"/>
          <w:sz w:val="24"/>
          <w:highlight w:val="none"/>
          <w:lang w:val="en-US"/>
        </w:rPr>
        <w:t xml:space="preserve">0523-87633965</w:t>
      </w:r>
      <w:r>
        <w:rPr>
          <w:rFonts w:hint="eastAsia" w:ascii="宋体" w:hAnsi="宋体" w:cs="宋体"/>
          <w:color w:val="auto"/>
          <w:sz w:val="24"/>
          <w:highlight w:val="none"/>
        </w:rPr>
        <w:t xml:space="preserve">、</w:t>
      </w:r>
      <w:r>
        <w:rPr>
          <w:rFonts w:hint="eastAsia" w:ascii="宋体" w:hAnsi="宋体" w:cs="宋体"/>
          <w:color w:val="auto"/>
          <w:sz w:val="24"/>
          <w:highlight w:val="none"/>
          <w:lang w:val="en-US"/>
        </w:rPr>
        <w:t xml:space="preserve">0523-86897512</w:t>
      </w:r>
      <w:r>
        <w:rPr>
          <w:rFonts w:hint="eastAsia" w:ascii="宋体" w:hAnsi="宋体" w:cs="宋体"/>
          <w:color w:val="auto"/>
          <w:sz w:val="24"/>
          <w:highlight w:val="none"/>
        </w:rPr>
        <w:t xml:space="preserve">；客服</w:t>
      </w:r>
      <w:r>
        <w:rPr>
          <w:rFonts w:hint="eastAsia" w:ascii="宋体" w:hAnsi="宋体" w:cs="宋体"/>
          <w:color w:val="auto"/>
          <w:sz w:val="24"/>
          <w:highlight w:val="none"/>
          <w:lang w:val="en-US"/>
        </w:rPr>
        <w:t xml:space="preserve">QQ</w:t>
      </w:r>
      <w:r>
        <w:rPr>
          <w:rFonts w:hint="eastAsia" w:ascii="宋体" w:hAnsi="宋体" w:cs="宋体"/>
          <w:color w:val="auto"/>
          <w:sz w:val="24"/>
          <w:highlight w:val="none"/>
        </w:rPr>
        <w:t xml:space="preserve">：</w:t>
      </w:r>
      <w:r>
        <w:rPr>
          <w:rFonts w:hint="eastAsia" w:ascii="宋体" w:hAnsi="宋体" w:cs="宋体"/>
          <w:color w:val="auto"/>
          <w:sz w:val="24"/>
          <w:highlight w:val="none"/>
          <w:lang w:val="en-US"/>
        </w:rPr>
        <w:t xml:space="preserve">709339244</w:t>
      </w:r>
      <w:r>
        <w:rPr>
          <w:rFonts w:hint="eastAsia" w:ascii="宋体" w:hAnsi="宋体" w:cs="宋体"/>
          <w:color w:val="auto"/>
          <w:sz w:val="24"/>
          <w:highlight w:val="none"/>
        </w:rPr>
        <w:t xml:space="preserve">、</w:t>
      </w:r>
      <w:r>
        <w:rPr>
          <w:rFonts w:hint="eastAsia" w:ascii="宋体" w:hAnsi="宋体" w:cs="宋体"/>
          <w:color w:val="auto"/>
          <w:sz w:val="24"/>
          <w:highlight w:val="none"/>
          <w:lang w:val="en-US"/>
        </w:rPr>
        <w:t xml:space="preserve">1195486789</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.有关本次采购的事项若存在变动或修改，敬请及时关注“江苏政府采购网”“泰州市政府采购网”发布的更正公告。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.如潜在投标供应商未按上述要求操作，将自行承担所产生的一切风险。</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.在评标结束前，各投标人授权代表应保持手机畅通，以便及时澄清答疑、磋商。</w:t>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八、凡对本次采购提出询问，请按以下方式联系。</w:t>
      </w:r>
      <w:bookmarkEnd w:id="28"/>
      <w:r/>
      <w:bookmarkEnd w:id="29"/>
      <w:r/>
      <w:bookmarkEnd w:id="30"/>
      <w:r/>
      <w:bookmarkEnd w:id="31"/>
      <w:r/>
      <w:r/>
    </w:p>
    <w:p>
      <w:pPr>
        <w:ind w:firstLine="480"/>
        <w:jc w:val="left"/>
        <w:spacing w:line="360" w:lineRule="auto"/>
        <w:shd w:val="clear" w:color="auto" w:fill="ffffff"/>
        <w:widowControl/>
        <w:rPr>
          <w:rFonts w:ascii="宋体" w:hAnsi="宋体" w:cs="宋体"/>
          <w:color w:val="auto"/>
          <w:sz w:val="24"/>
          <w:highlight w:val="none"/>
        </w:rPr>
      </w:pPr>
      <w:r/>
      <w:bookmarkStart w:id="32" w:name="_Toc28359086"/>
      <w:r/>
      <w:bookmarkStart w:id="33" w:name="_Toc28359009"/>
      <w:r>
        <w:rPr>
          <w:rFonts w:hint="eastAsia" w:ascii="宋体" w:hAnsi="宋体" w:cs="宋体"/>
          <w:color w:val="auto"/>
          <w:sz w:val="24"/>
          <w:highlight w:val="none"/>
        </w:rPr>
        <w:t xml:space="preserve">1.采购人</w:t>
      </w:r>
      <w:r/>
    </w:p>
    <w:p>
      <w:pPr>
        <w:ind w:firstLine="480"/>
        <w:jc w:val="left"/>
        <w:spacing w:line="360" w:lineRule="auto"/>
        <w:shd w:val="clear" w:color="auto" w:fill="ffffff"/>
        <w:widowControl/>
        <w:rPr>
          <w:rFonts w:hint="eastAsia" w:ascii="宋体" w:hAnsi="宋体" w:eastAsia="宋体" w:cs="宋体"/>
          <w:color w:val="auto"/>
          <w:sz w:val="24"/>
          <w:szCs w:val="20"/>
          <w:highlight w:val="none"/>
          <w:lang w:eastAsia="zh-CN"/>
        </w:rPr>
      </w:pPr>
      <w:r>
        <w:rPr>
          <w:rFonts w:hint="eastAsia" w:ascii="宋体" w:hAnsi="宋体" w:cs="宋体"/>
          <w:color w:val="auto"/>
          <w:sz w:val="24"/>
          <w:highlight w:val="none"/>
        </w:rPr>
        <w:t xml:space="preserve">单</w:t>
      </w:r>
      <w:r>
        <w:rPr>
          <w:rFonts w:hint="eastAsia" w:ascii="宋体" w:hAnsi="宋体" w:cs="宋体"/>
          <w:color w:val="auto"/>
          <w:sz w:val="24"/>
          <w:szCs w:val="20"/>
          <w:highlight w:val="none"/>
        </w:rPr>
        <w:t xml:space="preserve">位名称：</w:t>
      </w:r>
      <w:r>
        <w:rPr>
          <w:rFonts w:hint="eastAsia" w:ascii="宋体" w:hAnsi="宋体" w:cs="宋体"/>
          <w:color w:val="auto"/>
          <w:sz w:val="24"/>
          <w:szCs w:val="20"/>
          <w:highlight w:val="none"/>
          <w:lang w:eastAsia="zh-CN"/>
        </w:rPr>
        <w:t xml:space="preserve">泰州市公安局交通</w:t>
      </w:r>
      <w:r>
        <w:rPr>
          <w:rFonts w:hint="eastAsia" w:ascii="宋体" w:hAnsi="宋体" w:cs="宋体"/>
          <w:color w:val="auto"/>
          <w:sz w:val="24"/>
          <w:szCs w:val="20"/>
          <w:highlight w:val="none"/>
          <w:lang w:val="en-US" w:eastAsia="zh-CN"/>
        </w:rPr>
        <w:t xml:space="preserve">管理</w:t>
      </w:r>
      <w:r>
        <w:rPr>
          <w:rFonts w:hint="eastAsia" w:ascii="宋体" w:hAnsi="宋体" w:cs="宋体"/>
          <w:color w:val="auto"/>
          <w:sz w:val="24"/>
          <w:szCs w:val="20"/>
          <w:highlight w:val="none"/>
          <w:lang w:eastAsia="zh-CN"/>
        </w:rPr>
        <w:t xml:space="preserve">支队 </w:t>
      </w:r>
      <w:r/>
    </w:p>
    <w:p>
      <w:pPr>
        <w:ind w:firstLine="480"/>
        <w:jc w:val="left"/>
        <w:spacing w:line="360" w:lineRule="auto"/>
        <w:shd w:val="clear" w:color="auto" w:fill="ffffff"/>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联系地址：泰州市祥泰路330号</w:t>
      </w:r>
      <w:r/>
    </w:p>
    <w:p>
      <w:pPr>
        <w:ind w:firstLine="480"/>
        <w:jc w:val="left"/>
        <w:spacing w:line="360" w:lineRule="auto"/>
        <w:shd w:val="clear" w:color="auto" w:fill="ffffff"/>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联 系 人：</w:t>
      </w:r>
      <w:r>
        <w:rPr>
          <w:rFonts w:hint="eastAsia" w:ascii="宋体" w:hAnsi="宋体" w:cs="宋体"/>
          <w:color w:val="auto"/>
          <w:sz w:val="24"/>
          <w:szCs w:val="20"/>
          <w:highlight w:val="none"/>
          <w:lang w:val="en-US" w:eastAsia="zh-CN"/>
        </w:rPr>
        <w:t xml:space="preserve">窦</w:t>
      </w:r>
      <w:r>
        <w:rPr>
          <w:rFonts w:hint="eastAsia" w:ascii="宋体" w:hAnsi="宋体" w:cs="宋体"/>
          <w:color w:val="auto"/>
          <w:sz w:val="24"/>
          <w:szCs w:val="20"/>
          <w:highlight w:val="none"/>
        </w:rPr>
        <w:t xml:space="preserve">先生 </w:t>
      </w:r>
      <w:r/>
    </w:p>
    <w:p>
      <w:pPr>
        <w:ind w:firstLine="480"/>
        <w:jc w:val="left"/>
        <w:spacing w:line="360" w:lineRule="auto"/>
        <w:shd w:val="clear" w:color="auto" w:fill="ffffff"/>
        <w:widowControl/>
        <w:rPr>
          <w:rFonts w:hint="eastAsia" w:ascii="宋体" w:hAnsi="宋体" w:cs="宋体"/>
          <w:color w:val="auto"/>
          <w:sz w:val="24"/>
          <w:szCs w:val="20"/>
          <w:highlight w:val="none"/>
          <w:lang w:val="en-US" w:eastAsia="zh-CN"/>
        </w:rPr>
      </w:pPr>
      <w:r>
        <w:rPr>
          <w:rFonts w:hint="eastAsia" w:ascii="宋体" w:hAnsi="宋体" w:cs="宋体"/>
          <w:color w:val="auto"/>
          <w:sz w:val="24"/>
          <w:szCs w:val="20"/>
          <w:highlight w:val="none"/>
        </w:rPr>
        <w:t xml:space="preserve">联系电话：</w:t>
      </w:r>
      <w:r>
        <w:rPr>
          <w:rFonts w:hint="eastAsia" w:ascii="宋体" w:hAnsi="宋体" w:cs="宋体"/>
          <w:color w:val="auto"/>
          <w:sz w:val="24"/>
          <w:szCs w:val="20"/>
          <w:highlight w:val="none"/>
          <w:lang w:val="en-US" w:eastAsia="zh-CN"/>
        </w:rPr>
        <w:t xml:space="preserve">15052795666</w:t>
      </w:r>
      <w:r/>
    </w:p>
    <w:p>
      <w:pPr>
        <w:ind w:firstLine="480"/>
        <w:jc w:val="left"/>
        <w:spacing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2.采购代理机构信息</w:t>
      </w:r>
      <w:bookmarkEnd w:id="32"/>
      <w:r/>
      <w:bookmarkEnd w:id="33"/>
      <w:r/>
      <w:r/>
    </w:p>
    <w:p>
      <w:pPr>
        <w:ind w:firstLine="480"/>
        <w:jc w:val="left"/>
        <w:spacing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名 称：江苏经纬资产土地房地产评估测绘工程咨询有限公司</w:t>
      </w:r>
      <w:r/>
    </w:p>
    <w:p>
      <w:pPr>
        <w:ind w:firstLine="480"/>
        <w:jc w:val="left"/>
        <w:spacing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地　址：泰州市海陵区莲花6号小区A幢-8室</w:t>
      </w:r>
      <w:r/>
    </w:p>
    <w:p>
      <w:pPr>
        <w:ind w:firstLine="480"/>
        <w:jc w:val="left"/>
        <w:spacing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联系人：万工、王工</w:t>
      </w:r>
      <w:r/>
    </w:p>
    <w:p>
      <w:pPr>
        <w:ind w:firstLine="480"/>
        <w:jc w:val="left"/>
        <w:spacing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联系方式：0523-86330779</w:t>
      </w:r>
      <w:r/>
    </w:p>
    <w:p>
      <w:pPr>
        <w:ind w:firstLine="480"/>
        <w:jc w:val="left"/>
        <w:spacing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3.项目联系方式</w:t>
      </w:r>
      <w:r/>
    </w:p>
    <w:p>
      <w:pPr>
        <w:ind w:firstLine="480"/>
        <w:jc w:val="left"/>
        <w:spacing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项目联系人：万工、王工</w:t>
      </w:r>
      <w:r/>
    </w:p>
    <w:p>
      <w:pPr>
        <w:ind w:firstLine="480"/>
        <w:jc w:val="left"/>
        <w:spacing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电话：0523-86330779</w:t>
      </w:r>
      <w:r/>
    </w:p>
    <w:p>
      <w:pPr>
        <w:rPr>
          <w:color w:val="auto"/>
          <w:highlight w:val="none"/>
        </w:rPr>
      </w:pPr>
      <w:r/>
      <w:bookmarkStart w:id="34" w:name="_Toc28896"/>
      <w:r/>
      <w:bookmarkEnd w:id="1"/>
      <w:r/>
      <w:bookmarkEnd w:id="2"/>
      <w:r/>
      <w:bookmarkEnd w:id="3"/>
      <w:r/>
      <w:bookmarkEnd w:id="34"/>
      <w:r/>
      <w:r/>
    </w:p>
    <w:p>
      <w:pPr>
        <w:rPr>
          <w:rFonts w:ascii="宋体" w:hAnsi="宋体" w:cs="宋体"/>
          <w:b/>
          <w:color w:val="auto"/>
          <w:sz w:val="32"/>
          <w:szCs w:val="32"/>
          <w:highlight w:val="none"/>
        </w:rPr>
      </w:pPr>
      <w:r/>
      <w:bookmarkStart w:id="35" w:name="_Toc20325"/>
      <w:r>
        <w:rPr>
          <w:rFonts w:hint="eastAsia" w:ascii="宋体" w:hAnsi="宋体" w:cs="宋体"/>
          <w:b/>
          <w:color w:val="auto"/>
          <w:sz w:val="32"/>
          <w:szCs w:val="32"/>
          <w:highlight w:val="none"/>
        </w:rPr>
        <w:br w:type="page" w:clear="all"/>
      </w:r>
      <w:r/>
    </w:p>
    <w:p>
      <w:pPr>
        <w:jc w:val="center"/>
        <w:spacing w:line="360" w:lineRule="auto"/>
        <w:tabs>
          <w:tab w:val="left" w:pos="1515" w:leader="none"/>
        </w:tabs>
        <w:rPr>
          <w:rFonts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第二章 参加磋商的供应商须知</w:t>
      </w:r>
      <w:r/>
    </w:p>
    <w:p>
      <w:pPr>
        <w:ind w:firstLine="480"/>
        <w:jc w:val="center"/>
        <w:spacing w:line="360" w:lineRule="auto"/>
        <w:rPr>
          <w:rFonts w:ascii="宋体" w:hAnsi="宋体"/>
          <w:b/>
          <w:bCs/>
          <w:color w:val="auto"/>
          <w:sz w:val="24"/>
          <w:highlight w:val="none"/>
        </w:rPr>
      </w:pPr>
      <w:r>
        <w:rPr>
          <w:rFonts w:hint="eastAsia" w:ascii="宋体" w:hAnsi="宋体"/>
          <w:bCs/>
          <w:color w:val="auto"/>
          <w:sz w:val="24"/>
          <w:highlight w:val="none"/>
        </w:rPr>
        <w:t xml:space="preserve">（参加竞争性磋商的供应商以下简称“磋商供应商”）</w:t>
      </w:r>
      <w:r/>
    </w:p>
    <w:p>
      <w:pPr>
        <w:ind w:firstLine="480"/>
        <w:spacing w:line="360" w:lineRule="auto"/>
        <w:tabs>
          <w:tab w:val="left" w:pos="900" w:leader="none"/>
        </w:tabs>
        <w:rPr>
          <w:rFonts w:ascii="宋体" w:hAnsi="宋体"/>
          <w:bCs/>
          <w:color w:val="auto"/>
          <w:sz w:val="24"/>
          <w:highlight w:val="none"/>
        </w:rPr>
      </w:pPr>
      <w:r>
        <w:rPr>
          <w:rFonts w:hint="eastAsia" w:ascii="宋体" w:hAnsi="宋体"/>
          <w:bCs/>
          <w:color w:val="auto"/>
          <w:sz w:val="24"/>
          <w:highlight w:val="none"/>
        </w:rPr>
        <w:t xml:space="preserve">一、总则</w:t>
      </w:r>
      <w:r/>
    </w:p>
    <w:p>
      <w:pPr>
        <w:ind w:firstLine="480"/>
        <w:spacing w:line="360" w:lineRule="auto"/>
        <w:tabs>
          <w:tab w:val="left" w:pos="900" w:leader="none"/>
          <w:tab w:val="center" w:pos="4873" w:leader="none"/>
        </w:tabs>
        <w:rPr>
          <w:rFonts w:ascii="宋体" w:hAnsi="宋体"/>
          <w:color w:val="auto"/>
          <w:sz w:val="24"/>
          <w:highlight w:val="none"/>
        </w:rPr>
      </w:pPr>
      <w:r>
        <w:rPr>
          <w:rFonts w:hint="eastAsia" w:ascii="宋体" w:hAnsi="宋体"/>
          <w:color w:val="auto"/>
          <w:sz w:val="24"/>
          <w:highlight w:val="none"/>
          <w:lang w:eastAsia="zh-CN"/>
        </w:rPr>
        <w:t xml:space="preserve">1.</w:t>
      </w:r>
      <w:r>
        <w:rPr>
          <w:rFonts w:hint="eastAsia" w:ascii="宋体" w:hAnsi="宋体"/>
          <w:color w:val="auto"/>
          <w:sz w:val="24"/>
          <w:highlight w:val="none"/>
        </w:rPr>
        <w:t xml:space="preserve">适用范围</w:t>
      </w:r>
      <w:r>
        <w:rPr>
          <w:rFonts w:hint="eastAsia" w:ascii="宋体" w:hAnsi="宋体"/>
          <w:color w:val="auto"/>
          <w:sz w:val="24"/>
          <w:highlight w:val="none"/>
        </w:rPr>
        <w:tab/>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本磋商文件仅适用于</w:t>
      </w:r>
      <w:r>
        <w:rPr>
          <w:rFonts w:hint="eastAsia" w:ascii="宋体" w:hAnsi="宋体" w:cs="宋体"/>
          <w:color w:val="auto"/>
          <w:sz w:val="24"/>
          <w:highlight w:val="none"/>
          <w:lang w:eastAsia="zh-CN"/>
        </w:rPr>
        <w:t xml:space="preserve">交警支队2025-2026年科技运维项目</w:t>
      </w:r>
      <w:r>
        <w:rPr>
          <w:rFonts w:hint="eastAsia" w:ascii="宋体" w:hAnsi="宋体"/>
          <w:color w:val="auto"/>
          <w:sz w:val="24"/>
          <w:highlight w:val="none"/>
        </w:rPr>
        <w:t xml:space="preserve">。</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lang w:eastAsia="zh-CN"/>
        </w:rPr>
        <w:t xml:space="preserve">2.</w:t>
      </w:r>
      <w:r>
        <w:rPr>
          <w:rFonts w:hint="eastAsia" w:ascii="宋体" w:hAnsi="宋体"/>
          <w:color w:val="auto"/>
          <w:sz w:val="24"/>
          <w:highlight w:val="none"/>
        </w:rPr>
        <w:t xml:space="preserve">项目采购方式</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本次采购采取竞争性磋商的方式。</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lang w:eastAsia="zh-CN"/>
        </w:rPr>
        <w:t xml:space="preserve">3.</w:t>
      </w:r>
      <w:r>
        <w:rPr>
          <w:rFonts w:hint="eastAsia" w:ascii="宋体" w:hAnsi="宋体"/>
          <w:color w:val="auto"/>
          <w:sz w:val="24"/>
          <w:highlight w:val="none"/>
        </w:rPr>
        <w:t xml:space="preserve">合格的磋商供应商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3.1满足本磋商文件“竞争性磋商采购公告”中合格磋商供应商资格要求的规定。</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3.2满足本磋商文件实质性要求和条件的规定。</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lang w:eastAsia="zh-CN"/>
        </w:rPr>
        <w:t xml:space="preserve">4.</w:t>
      </w:r>
      <w:r>
        <w:rPr>
          <w:rFonts w:hint="eastAsia" w:ascii="宋体" w:hAnsi="宋体"/>
          <w:color w:val="auto"/>
          <w:sz w:val="24"/>
          <w:highlight w:val="none"/>
        </w:rPr>
        <w:t xml:space="preserve">参加磋商的费用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4.1参加磋商的供应商应自行承担所有与参加磋商有关的费用。不论最终的成交结果如何，</w:t>
      </w:r>
      <w:r>
        <w:rPr>
          <w:rFonts w:hint="eastAsia"/>
          <w:color w:val="auto"/>
          <w:sz w:val="24"/>
          <w:highlight w:val="none"/>
        </w:rPr>
        <w:t xml:space="preserve">江苏经纬资产土地房地产评估测绘工程咨询有限公司</w:t>
      </w:r>
      <w:r>
        <w:rPr>
          <w:rFonts w:hint="eastAsia" w:ascii="宋体" w:hAnsi="宋体"/>
          <w:color w:val="auto"/>
          <w:sz w:val="24"/>
          <w:highlight w:val="none"/>
        </w:rPr>
        <w:t xml:space="preserve">（以下简称代理机构）在任何情况下均无义务和责任承担这些费用。</w:t>
      </w:r>
      <w:r/>
    </w:p>
    <w:p>
      <w:pPr>
        <w:ind w:firstLine="480"/>
        <w:spacing w:line="360" w:lineRule="auto"/>
        <w:rPr>
          <w:rFonts w:hint="eastAsia"/>
          <w:color w:val="auto"/>
          <w:sz w:val="24"/>
          <w:highlight w:val="none"/>
        </w:rPr>
      </w:pPr>
      <w:r>
        <w:rPr>
          <w:rFonts w:hint="eastAsia"/>
          <w:color w:val="auto"/>
          <w:sz w:val="24"/>
          <w:highlight w:val="none"/>
        </w:rPr>
        <w:t xml:space="preserve">4.2本项目招标代理服务费由成交供应商支付。招标代理服务费按照苏政采协</w:t>
      </w:r>
      <w:r>
        <w:rPr>
          <w:rFonts w:hint="eastAsia"/>
          <w:color w:val="auto"/>
          <w:sz w:val="24"/>
          <w:highlight w:val="none"/>
          <w:lang w:eastAsia="zh-CN"/>
        </w:rPr>
        <w:t xml:space="preserve">〔2024〕20号</w:t>
      </w:r>
      <w:r>
        <w:rPr>
          <w:rFonts w:hint="eastAsia"/>
          <w:color w:val="auto"/>
          <w:sz w:val="24"/>
          <w:highlight w:val="none"/>
        </w:rPr>
        <w:t xml:space="preserve">文件规定的</w:t>
      </w:r>
      <w:r>
        <w:rPr>
          <w:rFonts w:hint="eastAsia"/>
          <w:color w:val="auto"/>
          <w:sz w:val="24"/>
          <w:highlight w:val="none"/>
          <w:lang w:val="en-US"/>
        </w:rPr>
        <w:t xml:space="preserve">50%</w:t>
      </w:r>
      <w:r>
        <w:rPr>
          <w:rFonts w:hint="eastAsia"/>
          <w:color w:val="auto"/>
          <w:sz w:val="24"/>
          <w:highlight w:val="none"/>
        </w:rPr>
        <w:t xml:space="preserve">收取</w:t>
      </w:r>
      <w:r>
        <w:rPr>
          <w:rFonts w:hint="eastAsia"/>
          <w:color w:val="auto"/>
          <w:sz w:val="24"/>
          <w:highlight w:val="none"/>
          <w:lang w:eastAsia="zh-CN"/>
        </w:rPr>
        <w:t xml:space="preserve">（</w:t>
      </w:r>
      <w:r>
        <w:rPr>
          <w:rFonts w:hint="eastAsia"/>
          <w:color w:val="auto"/>
          <w:sz w:val="24"/>
          <w:highlight w:val="none"/>
          <w:lang w:val="en-US" w:eastAsia="zh-CN"/>
        </w:rPr>
        <w:t xml:space="preserve">差额定率分档累进费率</w:t>
      </w:r>
      <w:r>
        <w:rPr>
          <w:rFonts w:hint="eastAsia"/>
          <w:color w:val="auto"/>
          <w:sz w:val="24"/>
          <w:highlight w:val="none"/>
          <w:lang w:eastAsia="zh-CN"/>
        </w:rPr>
        <w:t xml:space="preserve">）</w:t>
      </w:r>
      <w:r>
        <w:rPr>
          <w:rFonts w:hint="eastAsia"/>
          <w:color w:val="auto"/>
          <w:sz w:val="24"/>
          <w:highlight w:val="none"/>
        </w:rPr>
        <w:t xml:space="preserve">。</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lang w:eastAsia="zh-CN"/>
        </w:rPr>
        <w:t xml:space="preserve">5.</w:t>
      </w:r>
      <w:r>
        <w:rPr>
          <w:rFonts w:hint="eastAsia" w:ascii="宋体" w:hAnsi="宋体"/>
          <w:color w:val="auto"/>
          <w:sz w:val="24"/>
          <w:highlight w:val="none"/>
        </w:rPr>
        <w:t xml:space="preserve">磋商文件的约束力</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供应商一旦领取了本磋商文件并决定参加磋商，即被视为接受了本磋商文件的规定和约束，并且视为自竞争性磋商公告期限届满之日起已经知道或应当知道自身权益是否受到了损害。</w:t>
      </w:r>
      <w:r/>
    </w:p>
    <w:p>
      <w:pPr>
        <w:ind w:firstLine="480"/>
        <w:spacing w:line="360" w:lineRule="auto"/>
        <w:tabs>
          <w:tab w:val="left" w:pos="900" w:leader="none"/>
        </w:tabs>
        <w:rPr>
          <w:rFonts w:ascii="宋体" w:hAnsi="宋体"/>
          <w:color w:val="auto"/>
          <w:sz w:val="24"/>
          <w:highlight w:val="none"/>
        </w:rPr>
      </w:pPr>
      <w:r/>
      <w:bookmarkStart w:id="36" w:name="_Hlt26954828"/>
      <w:r/>
      <w:bookmarkEnd w:id="36"/>
      <w:r/>
      <w:bookmarkStart w:id="37" w:name="_Hlt26670345"/>
      <w:r/>
      <w:bookmarkEnd w:id="37"/>
      <w:r/>
      <w:bookmarkStart w:id="38" w:name="_Hlt26670354"/>
      <w:r/>
      <w:bookmarkEnd w:id="38"/>
      <w:r/>
      <w:bookmarkStart w:id="39" w:name="_Hlt26954832"/>
      <w:r/>
      <w:bookmarkEnd w:id="39"/>
      <w:r/>
      <w:bookmarkStart w:id="40" w:name="_Hlt26668969"/>
      <w:r/>
      <w:bookmarkEnd w:id="40"/>
      <w:r/>
      <w:bookmarkStart w:id="41" w:name="_Hlt26954830"/>
      <w:r/>
      <w:bookmarkEnd w:id="41"/>
      <w:r/>
      <w:bookmarkStart w:id="42" w:name="_Hlt26670348"/>
      <w:r/>
      <w:bookmarkEnd w:id="42"/>
      <w:r/>
      <w:bookmarkStart w:id="43" w:name="_Toc513029213"/>
      <w:r/>
      <w:bookmarkStart w:id="44" w:name="_Toc14577351"/>
      <w:r/>
      <w:bookmarkStart w:id="45" w:name="_Toc462564072"/>
      <w:r/>
      <w:bookmarkStart w:id="46" w:name="_Toc61149553"/>
      <w:r>
        <w:rPr>
          <w:rFonts w:hint="eastAsia" w:ascii="宋体" w:hAnsi="宋体"/>
          <w:color w:val="auto"/>
          <w:sz w:val="24"/>
          <w:highlight w:val="none"/>
        </w:rPr>
        <w:t xml:space="preserve">6.磋商文件的解释</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磋商文件需求部分（供应商资格要求、项目需求、商务技术评分标准</w:t>
      </w:r>
      <w:r>
        <w:rPr>
          <w:rFonts w:hint="eastAsia" w:ascii="宋体" w:hAnsi="宋体"/>
          <w:color w:val="auto"/>
          <w:sz w:val="24"/>
          <w:highlight w:val="none"/>
          <w:lang w:val="en-US" w:eastAsia="zh-CN"/>
        </w:rPr>
        <w:t xml:space="preserve">等</w:t>
      </w:r>
      <w:r>
        <w:rPr>
          <w:rFonts w:hint="eastAsia" w:ascii="宋体" w:hAnsi="宋体"/>
          <w:color w:val="auto"/>
          <w:sz w:val="24"/>
          <w:highlight w:val="none"/>
        </w:rPr>
        <w:t xml:space="preserve">）由采购人解释，其他部分由采购代理机构解释。</w:t>
      </w:r>
      <w:r/>
    </w:p>
    <w:p>
      <w:pPr>
        <w:ind w:firstLine="480"/>
        <w:spacing w:line="360" w:lineRule="auto"/>
        <w:tabs>
          <w:tab w:val="left" w:pos="900" w:leader="none"/>
        </w:tabs>
        <w:rPr>
          <w:rFonts w:ascii="宋体" w:hAnsi="宋体"/>
          <w:bCs/>
          <w:color w:val="auto"/>
          <w:sz w:val="24"/>
          <w:highlight w:val="none"/>
        </w:rPr>
      </w:pPr>
      <w:r>
        <w:rPr>
          <w:rFonts w:hint="eastAsia" w:ascii="宋体" w:hAnsi="宋体"/>
          <w:bCs/>
          <w:color w:val="auto"/>
          <w:sz w:val="24"/>
          <w:highlight w:val="none"/>
        </w:rPr>
        <w:t xml:space="preserve">二、磋商响应文件的编制</w:t>
      </w:r>
      <w:bookmarkEnd w:id="43"/>
      <w:r/>
      <w:bookmarkEnd w:id="44"/>
      <w:r/>
      <w:bookmarkEnd w:id="45"/>
      <w:r/>
      <w:bookmarkEnd w:id="46"/>
      <w:r/>
      <w:r/>
    </w:p>
    <w:p>
      <w:pPr>
        <w:ind w:firstLine="480"/>
        <w:spacing w:line="360" w:lineRule="auto"/>
        <w:tabs>
          <w:tab w:val="left" w:pos="900" w:leader="none"/>
        </w:tabs>
        <w:rPr>
          <w:rFonts w:ascii="宋体" w:hAnsi="宋体"/>
          <w:color w:val="auto"/>
          <w:sz w:val="24"/>
          <w:highlight w:val="none"/>
        </w:rPr>
      </w:pPr>
      <w:r/>
      <w:bookmarkStart w:id="47" w:name="_Hlt26954836"/>
      <w:r/>
      <w:bookmarkEnd w:id="47"/>
      <w:r/>
      <w:bookmarkStart w:id="48" w:name="_Hlt26670357"/>
      <w:r/>
      <w:bookmarkEnd w:id="48"/>
      <w:r/>
      <w:bookmarkStart w:id="49" w:name="_Toc513029210"/>
      <w:r/>
      <w:bookmarkStart w:id="50" w:name="_Toc16938526"/>
      <w:r/>
      <w:bookmarkStart w:id="51" w:name="_Toc20823282"/>
      <w:r/>
      <w:bookmarkStart w:id="52" w:name="_Toc20823309"/>
      <w:r/>
      <w:bookmarkStart w:id="53" w:name="_Toc513029237"/>
      <w:r/>
      <w:bookmarkStart w:id="54" w:name="_Toc16938553"/>
      <w:r>
        <w:rPr>
          <w:rFonts w:hint="eastAsia" w:ascii="宋体" w:hAnsi="宋体"/>
          <w:color w:val="auto"/>
          <w:sz w:val="24"/>
          <w:highlight w:val="none"/>
        </w:rPr>
        <w:t xml:space="preserve">1.磋商文件的构成</w:t>
      </w:r>
      <w:bookmarkEnd w:id="49"/>
      <w:r/>
      <w:bookmarkEnd w:id="50"/>
      <w:r/>
      <w:bookmarkEnd w:id="51"/>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1.1 磋商文件由以下部分组成：</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（1）竞争性磋商公告</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（2）供应商须知</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（3）合同条款及格式</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（4）采购需求</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（5）评审方法和评审标准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（6）响应文件组成和格式</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请仔细检查磋商文件是否齐全，如有缺漏请立即与采购人或采购代理机构联系解决。</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spacing w:line="360" w:lineRule="auto"/>
        <w:tabs>
          <w:tab w:val="left" w:pos="900" w:leader="none"/>
        </w:tabs>
        <w:rPr>
          <w:rFonts w:ascii="宋体" w:hAnsi="宋体"/>
          <w:color w:val="auto"/>
          <w:sz w:val="24"/>
          <w:highlight w:val="none"/>
        </w:rPr>
      </w:pPr>
      <w:r/>
      <w:bookmarkStart w:id="55" w:name="_Toc462564070"/>
      <w:r/>
      <w:bookmarkStart w:id="56" w:name="_Toc16938527"/>
      <w:r/>
      <w:bookmarkStart w:id="57" w:name="_Toc513029211"/>
      <w:r/>
      <w:bookmarkStart w:id="58" w:name="_Toc20823283"/>
      <w:r>
        <w:rPr>
          <w:rFonts w:hint="eastAsia" w:ascii="宋体" w:hAnsi="宋体"/>
          <w:color w:val="auto"/>
          <w:sz w:val="24"/>
          <w:highlight w:val="none"/>
        </w:rPr>
        <w:t xml:space="preserve">2.磋商文件的澄清</w:t>
      </w:r>
      <w:bookmarkEnd w:id="55"/>
      <w:r/>
      <w:bookmarkEnd w:id="56"/>
      <w:r/>
      <w:bookmarkEnd w:id="57"/>
      <w:r/>
      <w:bookmarkEnd w:id="58"/>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2.2采购人可以视采购项目的具体情况，组织供应商进行现场考察或召开磋商前答疑会，但不单独或分别组织只有一个供应商参加的现场考察和答疑会。</w:t>
      </w:r>
      <w:r/>
    </w:p>
    <w:p>
      <w:pPr>
        <w:ind w:firstLine="480"/>
        <w:spacing w:line="360" w:lineRule="auto"/>
        <w:tabs>
          <w:tab w:val="left" w:pos="900" w:leader="none"/>
        </w:tabs>
        <w:rPr>
          <w:rFonts w:ascii="宋体" w:hAnsi="宋体"/>
          <w:color w:val="auto"/>
          <w:sz w:val="24"/>
          <w:highlight w:val="none"/>
        </w:rPr>
      </w:pPr>
      <w:r/>
      <w:bookmarkStart w:id="59" w:name="_Toc462564071"/>
      <w:r/>
      <w:bookmarkStart w:id="60" w:name="_Toc513029212"/>
      <w:r/>
      <w:bookmarkStart w:id="61" w:name="_Toc20823284"/>
      <w:r/>
      <w:bookmarkStart w:id="62" w:name="_Toc16938528"/>
      <w:r>
        <w:rPr>
          <w:rFonts w:hint="eastAsia" w:ascii="宋体" w:hAnsi="宋体"/>
          <w:color w:val="auto"/>
          <w:sz w:val="24"/>
          <w:highlight w:val="none"/>
        </w:rPr>
        <w:t xml:space="preserve">3.磋商文件的修改</w:t>
      </w:r>
      <w:bookmarkEnd w:id="59"/>
      <w:r/>
      <w:bookmarkEnd w:id="60"/>
      <w:r/>
      <w:bookmarkEnd w:id="61"/>
      <w:r/>
      <w:bookmarkEnd w:id="62"/>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3.1在响应文件提交截止时间前，采购人或采购代理机构可以对磋商文件进行修改</w:t>
      </w:r>
      <w:r>
        <w:rPr>
          <w:rFonts w:hint="eastAsia" w:ascii="宋体" w:hAnsi="宋体"/>
          <w:color w:val="auto"/>
          <w:sz w:val="24"/>
          <w:highlight w:val="none"/>
          <w:lang w:eastAsia="zh-CN"/>
        </w:rPr>
        <w:t xml:space="preserve">，</w:t>
      </w:r>
      <w:r>
        <w:rPr>
          <w:rFonts w:hint="eastAsia" w:ascii="宋体" w:hAnsi="宋体"/>
          <w:color w:val="auto"/>
          <w:sz w:val="24"/>
          <w:highlight w:val="none"/>
          <w:lang w:val="zh-CN"/>
        </w:rPr>
        <w:t xml:space="preserve">澄清或者修改的</w:t>
      </w:r>
      <w:r>
        <w:rPr>
          <w:rFonts w:hint="eastAsia" w:ascii="宋体" w:hAnsi="宋体"/>
          <w:color w:val="auto"/>
          <w:sz w:val="24"/>
          <w:highlight w:val="none"/>
        </w:rPr>
        <w:t xml:space="preserve">内容</w:t>
      </w:r>
      <w:r>
        <w:rPr>
          <w:rFonts w:hint="eastAsia" w:ascii="宋体" w:hAnsi="宋体"/>
          <w:color w:val="auto"/>
          <w:sz w:val="24"/>
          <w:highlight w:val="none"/>
          <w:lang w:val="zh-CN"/>
        </w:rPr>
        <w:t xml:space="preserve">作为磋商文件的组成部分。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3.2采购人或采购代理机构有权按照法定的要求推迟响应文件提交截止日期和磋商日期。</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3.3磋商文件的修改将在江苏政府采购网公布，补充文件将作为磋商文件的组成部分，并对供应商具有约束力。</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到通知义务。敬请各潜在供应商关注本项目的“更正（澄清）公告”，并通过“苏采云”系统重新下载更正（澄清）后的采购文件（后缀名为“.kedt”），离线编制响应文件，否则，将自行承担相应的风险。</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0"/>
        <w:spacing w:line="360" w:lineRule="auto"/>
        <w:tabs>
          <w:tab w:val="left" w:pos="900" w:leader="none"/>
        </w:tabs>
        <w:rPr>
          <w:rFonts w:ascii="宋体" w:hAnsi="宋体"/>
          <w:color w:val="auto"/>
          <w:sz w:val="24"/>
          <w:highlight w:val="none"/>
        </w:rPr>
      </w:pPr>
      <w:r/>
      <w:bookmarkStart w:id="63" w:name="_Toc120614216"/>
      <w:r/>
      <w:bookmarkStart w:id="64" w:name="_Toc16938529"/>
      <w:r/>
      <w:bookmarkStart w:id="65" w:name="_Toc20823285"/>
      <w:r>
        <w:rPr>
          <w:rFonts w:hint="eastAsia" w:ascii="宋体" w:hAnsi="宋体"/>
          <w:color w:val="auto"/>
          <w:sz w:val="24"/>
          <w:highlight w:val="none"/>
        </w:rPr>
        <w:t xml:space="preserve">三、响应文件的编制</w:t>
      </w:r>
      <w:bookmarkEnd w:id="63"/>
      <w:r/>
      <w:bookmarkEnd w:id="64"/>
      <w:r/>
      <w:bookmarkEnd w:id="65"/>
      <w:r/>
      <w:r/>
    </w:p>
    <w:p>
      <w:pPr>
        <w:ind w:firstLine="480"/>
        <w:spacing w:line="360" w:lineRule="auto"/>
        <w:tabs>
          <w:tab w:val="left" w:pos="900" w:leader="none"/>
        </w:tabs>
        <w:rPr>
          <w:rFonts w:ascii="宋体" w:hAnsi="宋体"/>
          <w:color w:val="auto"/>
          <w:sz w:val="24"/>
          <w:highlight w:val="none"/>
        </w:rPr>
      </w:pPr>
      <w:r/>
      <w:bookmarkStart w:id="66" w:name="_Toc462564073"/>
      <w:r/>
      <w:bookmarkStart w:id="67" w:name="_Toc513029214"/>
      <w:r/>
      <w:bookmarkStart w:id="68" w:name="_Toc16938530"/>
      <w:r/>
      <w:bookmarkStart w:id="69" w:name="_Toc20823286"/>
      <w:r>
        <w:rPr>
          <w:rFonts w:hint="eastAsia" w:ascii="宋体" w:hAnsi="宋体"/>
          <w:color w:val="auto"/>
          <w:sz w:val="24"/>
          <w:highlight w:val="none"/>
        </w:rPr>
        <w:t xml:space="preserve">1.响应文件的语言及度量衡单位</w:t>
      </w:r>
      <w:bookmarkEnd w:id="66"/>
      <w:r/>
      <w:bookmarkEnd w:id="67"/>
      <w:r/>
      <w:bookmarkEnd w:id="68"/>
      <w:r/>
      <w:bookmarkEnd w:id="69"/>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1.1供应商提交的响应文件以及供应商与采购人或采购代理机构就有关磋商的所有来往通知、函件和文件均应使用简体中文。磋商文件中既有中文也有外文的，以中文意义为准。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1.2除技术性能另有规定外，响应文件所使用的度量衡单位，均须采用国家法定计量单位。</w:t>
      </w:r>
      <w:r/>
    </w:p>
    <w:p>
      <w:pPr>
        <w:ind w:firstLine="480"/>
        <w:spacing w:line="360" w:lineRule="auto"/>
        <w:tabs>
          <w:tab w:val="left" w:pos="900" w:leader="none"/>
        </w:tabs>
        <w:rPr>
          <w:rFonts w:ascii="宋体" w:hAnsi="宋体"/>
          <w:color w:val="auto"/>
          <w:sz w:val="24"/>
          <w:highlight w:val="none"/>
        </w:rPr>
      </w:pPr>
      <w:r/>
      <w:bookmarkStart w:id="70" w:name="_Toc462564074"/>
      <w:r/>
      <w:bookmarkStart w:id="71" w:name="_Toc513029215"/>
      <w:r/>
      <w:bookmarkStart w:id="72" w:name="_Toc16938531"/>
      <w:r/>
      <w:bookmarkStart w:id="73" w:name="_Toc20823287"/>
      <w:r>
        <w:rPr>
          <w:rFonts w:hint="eastAsia" w:ascii="宋体" w:hAnsi="宋体"/>
          <w:color w:val="auto"/>
          <w:sz w:val="24"/>
          <w:highlight w:val="none"/>
        </w:rPr>
        <w:t xml:space="preserve">2.响应文件构成</w:t>
      </w:r>
      <w:bookmarkEnd w:id="70"/>
      <w:r/>
      <w:bookmarkEnd w:id="71"/>
      <w:r/>
      <w:bookmarkEnd w:id="72"/>
      <w:r/>
      <w:bookmarkEnd w:id="73"/>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2.1供应商编写的响应文件应包括资格审查文件、商务技术响应文件、报价响应文件。供应商按第六章响应文件的组成和格式要求编写响应文件。</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3.磋商响应报价</w:t>
      </w:r>
      <w:bookmarkStart w:id="74" w:name="_Hlt26670373"/>
      <w:r/>
      <w:bookmarkEnd w:id="74"/>
      <w:r>
        <w:rPr>
          <w:rFonts w:hint="eastAsia" w:ascii="宋体" w:hAnsi="宋体"/>
          <w:color w:val="auto"/>
          <w:sz w:val="24"/>
          <w:highlight w:val="none"/>
        </w:rPr>
        <w:t xml:space="preserve">表</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3.1磋商供应商应按照磋商文件规定格式填报磋商响应报价。每项产品或服务只允许有一个报价，任何有选择的报价将不予接受，磋商文件中另有规定的按规定执行。</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3.2标的物</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详见项目需求。</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3.3有关费用的处理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本次采购磋商供应商的总报价应包括为完成本项目发生的所有费用，本磋商文件中另有规定的除外。</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报价应包含与本次采购项目有关的所有费用。</w:t>
      </w:r>
      <w:r>
        <w:rPr>
          <w:rFonts w:hint="eastAsia" w:ascii="宋体" w:hAnsi="宋体"/>
          <w:color w:val="auto"/>
          <w:sz w:val="24"/>
          <w:highlight w:val="none"/>
          <w:lang w:val="en-US" w:eastAsia="zh-CN"/>
        </w:rPr>
        <w:t xml:space="preserve">报价</w:t>
      </w:r>
      <w:r>
        <w:rPr>
          <w:rFonts w:hint="eastAsia" w:ascii="宋体" w:hAnsi="宋体"/>
          <w:color w:val="auto"/>
          <w:sz w:val="24"/>
          <w:highlight w:val="none"/>
        </w:rPr>
        <w:t xml:space="preserve">包含但不限于人员、设备、安装、调试、验收、配套服务等所有含税费用。同时，还应包含支付给员工的工资和国家强制缴纳的各种社会保障资金，以及供应商认为需要的其他费用等。</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供应商须响应文件中的所有服务，且响应的服务只能有一个报价，报价应包括为实施委托项目约定范围内所需的全部费用。</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磋商文件未列明，而磋商供应商认为必需的费用也须列入报价。</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3.4报价采用的货币</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响应文件中的单价和总价，无特殊规定的采用人民币报价，以元为单位标注。磋商文件中另有规定的按规定执行。</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3.5磋商响应报价表上的价格应按磋商文件规定填写。</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4.磋商保证金：无</w:t>
      </w:r>
      <w:r/>
    </w:p>
    <w:p>
      <w:pPr>
        <w:ind w:firstLine="480"/>
        <w:spacing w:line="360" w:lineRule="auto"/>
        <w:tabs>
          <w:tab w:val="left" w:pos="900" w:leader="none"/>
        </w:tabs>
        <w:rPr>
          <w:rFonts w:ascii="宋体" w:hAnsi="宋体"/>
          <w:color w:val="auto"/>
          <w:sz w:val="24"/>
          <w:highlight w:val="none"/>
        </w:rPr>
      </w:pPr>
      <w:r/>
      <w:bookmarkStart w:id="75" w:name="_Hlt26668975"/>
      <w:r/>
      <w:bookmarkEnd w:id="75"/>
      <w:r/>
      <w:bookmarkStart w:id="76" w:name="_Hlt26670360"/>
      <w:r/>
      <w:bookmarkEnd w:id="76"/>
      <w:r/>
      <w:bookmarkStart w:id="77" w:name="_Hlt26954838"/>
      <w:r/>
      <w:bookmarkEnd w:id="77"/>
      <w:r/>
      <w:bookmarkStart w:id="78" w:name="_Toc14577360"/>
      <w:r/>
      <w:bookmarkStart w:id="79" w:name="_Toc49090511"/>
      <w:r>
        <w:rPr>
          <w:rFonts w:hint="eastAsia" w:ascii="宋体" w:hAnsi="宋体"/>
          <w:color w:val="auto"/>
          <w:sz w:val="24"/>
          <w:highlight w:val="none"/>
        </w:rPr>
        <w:t xml:space="preserve">5.</w:t>
      </w:r>
      <w:bookmarkEnd w:id="78"/>
      <w:r/>
      <w:bookmarkEnd w:id="79"/>
      <w:r>
        <w:rPr>
          <w:rFonts w:hint="eastAsia" w:ascii="宋体" w:hAnsi="宋体"/>
          <w:color w:val="auto"/>
          <w:sz w:val="24"/>
          <w:highlight w:val="none"/>
        </w:rPr>
        <w:t xml:space="preserve">磋商响应有效期</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5.1磋商响应有效期为采购文件规定的响应文件提交截止时间后九十（90）天。磋商响应有效期比规定短的将被视为非实质性响应而予以拒绝。</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6. 磋商响应有效期的延长</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6.1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80"/>
        <w:spacing w:line="360" w:lineRule="auto"/>
        <w:tabs>
          <w:tab w:val="left" w:pos="900" w:leader="none"/>
        </w:tabs>
        <w:rPr>
          <w:rFonts w:ascii="宋体" w:hAnsi="宋体"/>
          <w:color w:val="auto"/>
          <w:sz w:val="24"/>
          <w:highlight w:val="none"/>
        </w:rPr>
      </w:pPr>
      <w:r/>
      <w:bookmarkStart w:id="80" w:name="_Hlt26954852"/>
      <w:r/>
      <w:bookmarkEnd w:id="80"/>
      <w:r/>
      <w:bookmarkStart w:id="81" w:name="_Hlt26954739"/>
      <w:r/>
      <w:bookmarkEnd w:id="81"/>
      <w:r/>
      <w:bookmarkStart w:id="82" w:name="_Toc16938540"/>
      <w:r/>
      <w:bookmarkStart w:id="83" w:name="_Toc120614217"/>
      <w:r/>
      <w:bookmarkStart w:id="84" w:name="_Toc20823296"/>
      <w:r/>
      <w:bookmarkStart w:id="85" w:name="_Toc513029224"/>
      <w:r>
        <w:rPr>
          <w:rFonts w:hint="eastAsia" w:ascii="宋体" w:hAnsi="宋体"/>
          <w:color w:val="auto"/>
          <w:sz w:val="24"/>
          <w:highlight w:val="none"/>
        </w:rPr>
        <w:t xml:space="preserve">7.电子响应文件其他要求</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7.1电子招标投标交易平台（即“苏采云”系统）相关要求是本采购文件的组成部分。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7.2供应商应对CA证书妥善保管，如被他人盗用投标，因此带来的后果均由供应商自行承担。</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7.3供应商应当对采购文件提出的实质性要求和条件作出实质性响应，并在电子投标系统逐条应答。</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7.4供应商应按要求提供的资格证明文件（如资质证书、资格证书）、技术资料（如白皮书、彩页、手册、检测报告等）扫描上传至投标系统。 </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8.供应商应当在采购文件要求提交响应文件的截止时间前，将响应文件提交至“苏采云”系统，逾期提交的响应文件，“苏采云”系统将自动拒收。各供应商应在规定时间内凭CA证书进行网上解密。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四、响应文件的提交</w:t>
      </w:r>
      <w:bookmarkEnd w:id="82"/>
      <w:r/>
      <w:bookmarkEnd w:id="83"/>
      <w:r/>
      <w:bookmarkEnd w:id="84"/>
      <w:r/>
      <w:bookmarkEnd w:id="85"/>
      <w:r/>
      <w:r/>
    </w:p>
    <w:p>
      <w:pPr>
        <w:ind w:firstLine="480"/>
        <w:spacing w:line="360" w:lineRule="auto"/>
        <w:tabs>
          <w:tab w:val="left" w:pos="900" w:leader="none"/>
        </w:tabs>
        <w:rPr>
          <w:rFonts w:ascii="宋体" w:hAnsi="宋体"/>
          <w:color w:val="auto"/>
          <w:sz w:val="24"/>
          <w:highlight w:val="none"/>
        </w:rPr>
      </w:pPr>
      <w:r/>
      <w:bookmarkStart w:id="86" w:name="_Toc20823297"/>
      <w:r/>
      <w:bookmarkStart w:id="87" w:name="_Toc16938541"/>
      <w:r/>
      <w:bookmarkStart w:id="88" w:name="_Toc462564084"/>
      <w:r/>
      <w:bookmarkStart w:id="89" w:name="_Toc513029225"/>
      <w:r/>
      <w:bookmarkStart w:id="90" w:name="_Toc120614218"/>
      <w:r/>
      <w:bookmarkStart w:id="91" w:name="_Toc20823301"/>
      <w:r/>
      <w:bookmarkStart w:id="92" w:name="_Toc16938545"/>
      <w:r/>
      <w:bookmarkStart w:id="93" w:name="_Toc513029229"/>
      <w:r>
        <w:rPr>
          <w:rFonts w:hint="eastAsia" w:ascii="宋体" w:hAnsi="宋体"/>
          <w:color w:val="auto"/>
          <w:sz w:val="24"/>
          <w:highlight w:val="none"/>
        </w:rPr>
        <w:t xml:space="preserve">1.响应文件</w:t>
      </w:r>
      <w:bookmarkEnd w:id="86"/>
      <w:r/>
      <w:bookmarkEnd w:id="87"/>
      <w:r/>
      <w:bookmarkEnd w:id="88"/>
      <w:r/>
      <w:bookmarkEnd w:id="89"/>
      <w:r>
        <w:rPr>
          <w:rFonts w:hint="eastAsia" w:ascii="宋体" w:hAnsi="宋体"/>
          <w:color w:val="auto"/>
          <w:sz w:val="24"/>
          <w:highlight w:val="none"/>
        </w:rPr>
        <w:t xml:space="preserve">的提交</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线上提交与接收地点：供应商应当通过“苏采云”系统提交数据电文形式的响应文件（即电子投标</w:t>
      </w:r>
      <w:r>
        <w:rPr>
          <w:rFonts w:hint="eastAsia" w:ascii="宋体" w:hAnsi="宋体"/>
          <w:color w:val="auto"/>
          <w:sz w:val="24"/>
          <w:highlight w:val="none"/>
          <w:lang w:val="en-US" w:eastAsia="zh-CN"/>
        </w:rPr>
        <w:t xml:space="preserve">文件</w:t>
      </w:r>
      <w:r>
        <w:rPr>
          <w:rFonts w:hint="eastAsia" w:ascii="宋体" w:hAnsi="宋体"/>
          <w:color w:val="auto"/>
          <w:sz w:val="24"/>
          <w:highlight w:val="none"/>
        </w:rPr>
        <w:t xml:space="preserve">），“苏采云”系统自动接收。</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2.提交响应文件截止日期</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2.1供应商上传电子响应文件的时间不得迟于竞争性磋商公告中规定的响应文件提交截止时间。</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供应商应充分考虑网络环境、网络带宽等风险因素，如因供应商自身原因造成的电子响应文件上传不成功由供应商自行承担全部责任。</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2.2采购人或采购代理机构可以按照规定，通过修改响应文件酌情延长响应文件提交截止日期，在此情况下，供应商的所有权利和义务以及供应商受制的截止日期均应以延长后新的截止日期为准。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3.响应文件的密封（加密）要求：</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3.2供应商须通过“苏采云”系统提供的政府采购客户端工具（使用“CA数字证书”）加盖电子签章。</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说明：供应商应使用CA数字证书以及自备的能够登录“苏采云”系统的电脑，在达到开标时间后，使用CA数字证书解密各自响应文件。</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3.3供应商未按规定加密的响应文件，“苏采云”系统将拒收并提示。</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4.响应文件的拒收</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“苏采云”系统拒绝接收在规定的响应文件提交截止时间后上传的任何响应文件。</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 响应文件的撤回和修改</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5.1 响应文件的撤回</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5.1.1电子响应文件的撤回</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供应商可在响应文件提交截止时间前，撤回其电子响应文件，具体操作方法见“苏采云”系统供应商操作手册。</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5.1.2供应商撤回电子响应文件，则视为其不再参与本项目竞争性磋商活动。</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5.2响应文件的修改</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供应商可在响应文件提交截止时间前，对其电子响应文件进行修改。具体操作方法见“苏采云”系统供应商操作手册。</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5.3在响应文件提交截止时间之后，供应商不得对其电子响应文件做任何修改。</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5.4在响应文件提交截止时间至磋商文件中规定的磋商响应有效期满之间的这段时间内，供应商不得撤回其响应文件。</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五</w:t>
      </w:r>
      <w:bookmarkEnd w:id="90"/>
      <w:r/>
      <w:bookmarkEnd w:id="91"/>
      <w:r/>
      <w:bookmarkEnd w:id="92"/>
      <w:r/>
      <w:bookmarkEnd w:id="93"/>
      <w:r/>
      <w:bookmarkStart w:id="94" w:name="_Toc513029230"/>
      <w:r/>
      <w:bookmarkStart w:id="95" w:name="_Toc16938546"/>
      <w:r/>
      <w:bookmarkStart w:id="96" w:name="_Toc20823302"/>
      <w:r>
        <w:rPr>
          <w:rFonts w:hint="eastAsia" w:ascii="宋体" w:hAnsi="宋体"/>
          <w:color w:val="auto"/>
          <w:sz w:val="24"/>
          <w:highlight w:val="none"/>
        </w:rPr>
        <w:t xml:space="preserve">、磋商与评审</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1.磋商仪式</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1.1采购人或采购代理机构将在磋商公告中规定的时间和地点组织磋商开标仪式。</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开标当天</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各供应商及时登录不见面开标大厅，响应文件提交截止时间后，采购代理机构将在系统</w:t>
      </w:r>
      <w:r>
        <w:rPr>
          <w:rFonts w:hint="eastAsia" w:ascii="宋体" w:hAnsi="宋体"/>
          <w:color w:val="auto"/>
          <w:sz w:val="24"/>
          <w:highlight w:val="none"/>
        </w:rPr>
        <w:t xml:space="preserve">内公布供应商名单，然后通过开标会议区发出响应文件解密的指令，供应商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1.2磋商活动的文件解密工作由采购代理机构组织。</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注：各供应商请关注开标大厅交流区，在开标结束后，请勿离开开标大厅</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采购人或采购代理机构通知最后报价填报后，所有的响应供应商须在规定时间内填写并提交最后报价，未在规定时间内提交最后报价的，视作无效响应处理。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2.磋商小组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2.1磋商开始仪式结束后，采购人或采购代理机构将立即组织磋商小组进行评审。</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2.2磋商小组由采购人代表和评审专家共3人及以上单数组成，其中评审专家人数不得少于磋商小组成员总数的2/3。采购人不得以评审专家身份参加本部门或本单位采购项目的评审。采购代理机构不得参加本机构代理的采购项目的评审。</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2.3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2.4磋商小组独立工作，负责评审所有响应文件并确定成交候选人。</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3.磋商评审过程的保密与公正</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3.1磋商小组、采购人或采购代理机构、相关监督人员等与评审工作有关的人员，对评审情况以及在评审过程中获悉的国家秘密、商业秘密负有保密责任。</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3.2在磋商评审过程中，磋商供应商不得以任何行为影响磋商评审过程，否则其响应文件将被作为无效响应文件。</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3.5在评审期间，采购人或采购代理机构将设专门人员与供应商联系。</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3.6采购人、采购代理机构和磋商小组</w:t>
      </w:r>
      <w:r>
        <w:rPr>
          <w:rFonts w:hint="eastAsia" w:ascii="宋体" w:hAnsi="宋体"/>
          <w:color w:val="auto"/>
          <w:sz w:val="24"/>
          <w:highlight w:val="none"/>
          <w:lang w:val="en-US" w:eastAsia="zh-CN"/>
        </w:rPr>
        <w:t xml:space="preserve">既</w:t>
      </w:r>
      <w:r>
        <w:rPr>
          <w:rFonts w:hint="eastAsia" w:ascii="宋体" w:hAnsi="宋体"/>
          <w:color w:val="auto"/>
          <w:sz w:val="24"/>
          <w:highlight w:val="none"/>
        </w:rPr>
        <w:t xml:space="preserve">不向未成交的供应商解释未成交原因，也不公布评审过程中的相关细节。</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4.评审过程中的澄清</w:t>
      </w:r>
      <w:r/>
    </w:p>
    <w:p>
      <w:pPr>
        <w:ind w:firstLine="480"/>
        <w:spacing w:line="360" w:lineRule="auto"/>
        <w:tabs>
          <w:tab w:val="left" w:pos="900" w:leader="none"/>
        </w:tabs>
        <w:rPr>
          <w:rFonts w:ascii="宋体" w:hAnsi="宋体"/>
          <w:color w:val="auto"/>
          <w:sz w:val="24"/>
          <w:highlight w:val="none"/>
          <w:lang w:val="zh-CN"/>
        </w:rPr>
      </w:pPr>
      <w:r>
        <w:rPr>
          <w:rFonts w:hint="eastAsia" w:ascii="宋体" w:hAnsi="宋体"/>
          <w:color w:val="auto"/>
          <w:sz w:val="24"/>
          <w:highlight w:val="none"/>
        </w:rPr>
        <w:t xml:space="preserve">4.1</w:t>
      </w:r>
      <w:r>
        <w:rPr>
          <w:rFonts w:hint="eastAsia" w:ascii="宋体" w:hAnsi="宋体"/>
          <w:color w:val="auto"/>
          <w:sz w:val="24"/>
          <w:highlight w:val="none"/>
          <w:lang w:val="zh-CN"/>
        </w:rPr>
        <w:t xml:space="preserve">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0"/>
        <w:spacing w:line="360" w:lineRule="auto"/>
        <w:tabs>
          <w:tab w:val="left" w:pos="900" w:leader="none"/>
        </w:tabs>
        <w:rPr>
          <w:rFonts w:ascii="宋体" w:hAnsi="宋体"/>
          <w:color w:val="auto"/>
          <w:sz w:val="24"/>
          <w:highlight w:val="none"/>
          <w:lang w:val="zh-CN"/>
        </w:rPr>
      </w:pPr>
      <w:r>
        <w:rPr>
          <w:rFonts w:hint="eastAsia" w:ascii="宋体" w:hAnsi="宋体"/>
          <w:color w:val="auto"/>
          <w:sz w:val="24"/>
          <w:highlight w:val="none"/>
        </w:rPr>
        <w:t xml:space="preserve">4.2</w:t>
      </w:r>
      <w:r>
        <w:rPr>
          <w:rFonts w:hint="eastAsia" w:ascii="宋体" w:hAnsi="宋体"/>
          <w:color w:val="auto"/>
          <w:sz w:val="24"/>
          <w:highlight w:val="none"/>
          <w:lang w:val="zh-CN"/>
        </w:rPr>
        <w:t xml:space="preserve">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4.3接到磋商小组</w:t>
      </w:r>
      <w:r>
        <w:rPr>
          <w:rFonts w:hint="eastAsia" w:ascii="宋体" w:hAnsi="宋体"/>
          <w:color w:val="auto"/>
          <w:sz w:val="24"/>
          <w:highlight w:val="none"/>
          <w:lang w:val="zh-CN"/>
        </w:rPr>
        <w:t xml:space="preserve">澄清、说明或更正</w:t>
      </w:r>
      <w:r>
        <w:rPr>
          <w:rFonts w:hint="eastAsia" w:ascii="宋体" w:hAnsi="宋体"/>
          <w:color w:val="auto"/>
          <w:sz w:val="24"/>
          <w:highlight w:val="none"/>
        </w:rPr>
        <w:t xml:space="preserve">要求的供应商应按磋商小组规定的时间和格式作出</w:t>
      </w:r>
      <w:r>
        <w:rPr>
          <w:rFonts w:hint="eastAsia" w:ascii="宋体" w:hAnsi="宋体"/>
          <w:color w:val="auto"/>
          <w:sz w:val="24"/>
          <w:highlight w:val="none"/>
          <w:lang w:val="zh-CN"/>
        </w:rPr>
        <w:t xml:space="preserve">澄清、说明或更正</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澄清、说明或更正</w:t>
      </w:r>
      <w:r>
        <w:rPr>
          <w:rFonts w:hint="eastAsia" w:ascii="宋体" w:hAnsi="宋体"/>
          <w:color w:val="auto"/>
          <w:sz w:val="24"/>
          <w:highlight w:val="none"/>
        </w:rPr>
        <w:t xml:space="preserve">的内容作为响应文件的补充部分，但实质性的内容不得作任何更改。</w:t>
      </w:r>
      <w:r/>
    </w:p>
    <w:p>
      <w:pPr>
        <w:ind w:firstLine="480"/>
        <w:spacing w:line="360" w:lineRule="auto"/>
        <w:tabs>
          <w:tab w:val="left" w:pos="900" w:leader="none"/>
        </w:tabs>
        <w:rPr>
          <w:rFonts w:ascii="宋体" w:hAnsi="宋体"/>
          <w:color w:val="auto"/>
          <w:sz w:val="24"/>
          <w:highlight w:val="none"/>
          <w:lang w:val="zh-CN"/>
        </w:rPr>
      </w:pPr>
      <w:r>
        <w:rPr>
          <w:rFonts w:hint="eastAsia" w:ascii="宋体" w:hAnsi="宋体"/>
          <w:color w:val="auto"/>
          <w:sz w:val="24"/>
          <w:highlight w:val="none"/>
          <w:lang w:val="zh-CN"/>
        </w:rPr>
        <w:t xml:space="preserve">4.4接到磋商小组澄清、说明或更正要求的供应商如未按规定作出澄清、说明或更正的，其风险由供应商自行承担。</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5.对响应文件的审查</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5.1响应文件初审分为资格性审查和符合性审查。</w:t>
      </w:r>
      <w:r/>
    </w:p>
    <w:p>
      <w:pPr>
        <w:ind w:firstLine="480"/>
        <w:spacing w:line="360" w:lineRule="auto"/>
        <w:tabs>
          <w:tab w:val="left" w:pos="900" w:leader="none"/>
        </w:tabs>
        <w:rPr>
          <w:rFonts w:ascii="宋体" w:hAnsi="宋体"/>
          <w:color w:val="auto"/>
          <w:sz w:val="24"/>
          <w:highlight w:val="none"/>
          <w:lang w:val="zh-CN"/>
        </w:rPr>
      </w:pPr>
      <w:r>
        <w:rPr>
          <w:rFonts w:hint="eastAsia" w:ascii="宋体" w:hAnsi="宋体"/>
          <w:color w:val="auto"/>
          <w:sz w:val="24"/>
          <w:highlight w:val="none"/>
        </w:rPr>
        <w:t xml:space="preserve">5.1.1资格性检查：</w:t>
      </w:r>
      <w:r>
        <w:rPr>
          <w:rFonts w:hint="eastAsia" w:ascii="宋体" w:hAnsi="宋体"/>
          <w:color w:val="auto"/>
          <w:sz w:val="24"/>
          <w:highlight w:val="none"/>
          <w:lang w:val="zh-CN"/>
        </w:rPr>
        <w:t xml:space="preserve">依据法律法规和磋商文件的规定，由</w:t>
      </w:r>
      <w:r>
        <w:rPr>
          <w:rFonts w:hint="eastAsia" w:ascii="宋体" w:hAnsi="宋体"/>
          <w:color w:val="auto"/>
          <w:sz w:val="24"/>
          <w:highlight w:val="none"/>
          <w:lang w:val="en-US" w:eastAsia="zh-CN"/>
        </w:rPr>
        <w:t xml:space="preserve">评标委员会</w:t>
      </w:r>
      <w:r>
        <w:rPr>
          <w:rFonts w:hint="eastAsia" w:ascii="宋体" w:hAnsi="宋体"/>
          <w:color w:val="auto"/>
          <w:sz w:val="24"/>
          <w:highlight w:val="none"/>
          <w:lang w:val="zh-CN"/>
        </w:rPr>
        <w:t xml:space="preserve">对响应文件中的资格审查文件进行审查。</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lang w:val="en-US" w:eastAsia="zh-CN"/>
        </w:rPr>
        <w:t xml:space="preserve">评标委员会</w:t>
      </w:r>
      <w:r>
        <w:rPr>
          <w:rFonts w:hint="eastAsia" w:ascii="宋体" w:hAnsi="宋体"/>
          <w:color w:val="auto"/>
          <w:sz w:val="24"/>
          <w:highlight w:val="none"/>
        </w:rPr>
        <w:t xml:space="preserve">在进行资格审查的同时，将在“信用中国”网站查询供应商的信用记录，以确定供应商是否具备磋商资格。</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5.1.2符合性审查：依据磋商文件的规定，由磋商小组从响应文件的有效性、完整性和对磋商文件的响应程度进行审查，以确定是否对磋商文件的实质性要求作出响应。</w:t>
      </w:r>
      <w:r/>
    </w:p>
    <w:p>
      <w:pPr>
        <w:ind w:firstLine="480"/>
        <w:spacing w:line="360" w:lineRule="auto"/>
        <w:tabs>
          <w:tab w:val="left" w:pos="900" w:leader="none"/>
        </w:tabs>
        <w:rPr>
          <w:rFonts w:ascii="宋体" w:hAnsi="宋体"/>
          <w:color w:val="auto"/>
          <w:sz w:val="24"/>
          <w:highlight w:val="none"/>
          <w:lang w:val="zh-CN"/>
        </w:rPr>
      </w:pPr>
      <w:r>
        <w:rPr>
          <w:rFonts w:hint="eastAsia" w:ascii="宋体" w:hAnsi="宋体"/>
          <w:color w:val="auto"/>
          <w:sz w:val="24"/>
          <w:highlight w:val="none"/>
        </w:rPr>
        <w:t xml:space="preserve">5.1.3未通过资格审查或符合性审查的供应商，</w:t>
      </w:r>
      <w:r>
        <w:rPr>
          <w:rFonts w:hint="eastAsia" w:ascii="宋体" w:hAnsi="宋体"/>
          <w:color w:val="auto"/>
          <w:sz w:val="24"/>
          <w:highlight w:val="none"/>
          <w:lang w:val="zh-CN"/>
        </w:rPr>
        <w:t xml:space="preserve">采购代理机构将在苏采云系统中告知未通过资格审查或符合性审查的原因；评审结束后，采购代理机构将不再告知未通过资格审查或符合性审查的原因。  </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5.2</w:t>
      </w:r>
      <w:r>
        <w:rPr>
          <w:rFonts w:hint="eastAsia" w:ascii="宋体" w:hAnsi="宋体"/>
          <w:color w:val="auto"/>
          <w:sz w:val="24"/>
          <w:highlight w:val="none"/>
          <w:lang w:val="zh-CN"/>
        </w:rPr>
        <w:t xml:space="preserve">在正式磋商之前</w:t>
      </w:r>
      <w:r>
        <w:rPr>
          <w:rFonts w:hint="eastAsia" w:ascii="宋体" w:hAnsi="宋体"/>
          <w:color w:val="auto"/>
          <w:sz w:val="24"/>
          <w:highlight w:val="none"/>
        </w:rPr>
        <w:t xml:space="preserve">，磋商小组将首先审查每份响应文件是否实质性响应了磋商文件的要求。实质性响应的响应文件应该是与磋商文件要求的全部条款、条件和规格相符，没有重大负偏离或保留。</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所谓重大负偏离或保留是指与磋商文件规定的实质性要求存在负偏离，或者在实质上与磋商文件不一致，并且限制了合同中买方和见证方的权利或供应商的义务</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5.3如果响应文件实质上没有响应磋商文件的要求，磋商小组将予以拒绝，供应商不得通过修改或撤销不符合要求的偏离或保留而使其响应文件成为实质性响应的文件。</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5.4磋商小组将对确定为实质性响应的文件进行进一步审核，看其是否有计算上或累加上的算术错误，修正错误的原则如下：</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（1）响应文件中报价总表内容与响应文件中相应内容不一致的，以报价总表为准。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（2）大写金额和小写金额不一致的，以大写金额为准。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（3）单价金额小数点或者百分比有明显错位的，以报价总表的总价为准，并修改单价。</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（4）总价金额与按单价汇总金额不一致的，以单价金额计算结果为准。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同时出现两种以上错误的，按照前款规定的顺序修正。</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5.5磋商小组将按上述修正错误的方法调整响应文件中的报价，通过“苏采云系统”开标大厅告知供应商，调整后的价格应对供应商具有约束力。如果供应商不接受修正后的价格，则其磋商响应文件将被拒绝。</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5.6磋商小组将允许修正响应文件中不构成重大偏离的、微小的、非正规的、不一致的或不规则的地方，但这些修改不能影响任何供应商相应的名次排列。</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5.7供应商在评审全过程中应保持通讯畅通，并安排专人与采购人或采购代理机构及磋商小组联系。</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6. 响应文件线上格式要求</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6.1供应商应当通过“苏采云”系统提交数据电文形式的响应文件（即电子投标</w:t>
      </w:r>
      <w:r>
        <w:rPr>
          <w:rFonts w:hint="eastAsia" w:ascii="宋体" w:hAnsi="宋体"/>
          <w:color w:val="auto"/>
          <w:sz w:val="24"/>
          <w:highlight w:val="none"/>
          <w:lang w:val="en-US" w:eastAsia="zh-CN"/>
        </w:rPr>
        <w:t xml:space="preserve">文件</w:t>
      </w:r>
      <w:r>
        <w:rPr>
          <w:rFonts w:hint="eastAsia" w:ascii="宋体" w:hAnsi="宋体"/>
          <w:color w:val="auto"/>
          <w:sz w:val="24"/>
          <w:highlight w:val="none"/>
        </w:rPr>
        <w:t xml:space="preserve">）。</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6.2通过“苏采云”系统提交政府采购客户端工具导出加密的响应文件（后缀名为zip）。</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6.3本项目采用线上投标，即供应商响应文件从政府采购客户端工具制作</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通过“苏采云”系统提交，未提供线上响应文件的，投标无效。</w:t>
      </w:r>
      <w:bookmarkEnd w:id="94"/>
      <w:r/>
      <w:bookmarkEnd w:id="95"/>
      <w:r/>
      <w:bookmarkEnd w:id="96"/>
      <w:r/>
      <w:bookmarkStart w:id="97" w:name="_Toc120614219"/>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 被认定为未实质性响应磋商文件的情形：</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7.1出现下列情形之一的，作无效响应处理，并视情况报监管部门调查其相互串通投标嫌疑；</w:t>
      </w:r>
      <w:r>
        <w:rPr>
          <w:rFonts w:hint="eastAsia" w:ascii="宋体" w:hAnsi="宋体"/>
          <w:color w:val="auto"/>
          <w:sz w:val="24"/>
          <w:highlight w:val="none"/>
        </w:rPr>
        <w:tab/>
      </w:r>
      <w:r>
        <w:rPr>
          <w:rFonts w:hint="eastAsia" w:ascii="宋体" w:hAnsi="宋体"/>
          <w:color w:val="auto"/>
          <w:sz w:val="24"/>
          <w:highlight w:val="none"/>
        </w:rPr>
        <w:tab/>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7.1.1供应商在规定的时间内未在苏采云系统内成功提交磋商响应文件的；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7.1.2</w:t>
      </w:r>
      <w:r>
        <w:rPr>
          <w:rFonts w:hint="eastAsia" w:ascii="宋体" w:hAnsi="宋体"/>
          <w:bCs/>
          <w:color w:val="auto"/>
          <w:sz w:val="24"/>
          <w:szCs w:val="21"/>
          <w:highlight w:val="none"/>
        </w:rPr>
        <w:t xml:space="preserve">供应商未按照磋商文件要求上传电子响应文件的；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供应商不具备磋商文件中规定的资格要求的；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供应商在系统规定的时间内未成功解密电子响应文件的；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未完整上传响应文件电子文档的，或上传的文件打不开的；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磋商小组认为供应商的报价明显低于其他通过符合性审查供应商的报价，有可能影响产品质量或者不能诚信履约的，应当要求其在规定时间内提供书面说明，必要时提交相关证明材料；供应商不能证明其报价合理性的，磋商小组应当将其作为无效响应处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响应报价超过了采购预算或最高限价</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或改变固定单价的</w:t>
      </w:r>
      <w:r>
        <w:rPr>
          <w:rFonts w:hint="eastAsia" w:ascii="宋体" w:hAnsi="宋体"/>
          <w:color w:val="auto"/>
          <w:sz w:val="24"/>
          <w:highlight w:val="none"/>
        </w:rPr>
        <w:t xml:space="preserve">；</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未通过符合性检查的；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不符合法律法规和磋商文件中规定的其他实质性要求的；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7.1.1</w:t>
      </w:r>
      <w:r>
        <w:rPr>
          <w:rFonts w:hint="eastAsia" w:ascii="宋体" w:hAnsi="宋体"/>
          <w:color w:val="auto"/>
          <w:sz w:val="24"/>
          <w:highlight w:val="none"/>
          <w:lang w:val="en-US" w:eastAsia="zh-CN"/>
        </w:rPr>
        <w:t xml:space="preserve">0</w:t>
      </w:r>
      <w:r>
        <w:rPr>
          <w:rFonts w:hint="eastAsia" w:ascii="宋体" w:hAnsi="宋体"/>
          <w:color w:val="auto"/>
          <w:sz w:val="24"/>
          <w:highlight w:val="none"/>
        </w:rPr>
        <w:t xml:space="preserve">供应商被“信用中国”网站（www.creditchina.gov.cn）列入失信被执行人、</w:t>
      </w:r>
      <w:r>
        <w:rPr>
          <w:rFonts w:hint="eastAsia" w:ascii="宋体" w:hAnsi="宋体" w:cs="宋体"/>
          <w:color w:val="auto"/>
          <w:sz w:val="24"/>
          <w:highlight w:val="none"/>
        </w:rPr>
        <w:t xml:space="preserve">重大税收违法案件当事人名单</w:t>
      </w:r>
      <w:r>
        <w:rPr>
          <w:rFonts w:hint="eastAsia" w:ascii="宋体" w:hAnsi="宋体"/>
          <w:color w:val="auto"/>
          <w:sz w:val="24"/>
          <w:highlight w:val="none"/>
        </w:rPr>
        <w:t xml:space="preserve">或政府采购严重违法失信行为记录名单，或查询“信用中国”网站后发现供应商存在其他不符合《中华人民共和国政府采购法》第二十二条规定条件的信用记录；</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7.1.1</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响应文件含有采购人不能接受的附加条件的；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7.1.1</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本项目采购产品被财政部、国家发展和改革委员会、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7.1.1</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响应文件未按照磋商文件要求加盖电子签章或签署；</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注：凡是响应文件中要求法定代表人或授权委托人签字，和以供应商名称落款并注明需要盖章的，均需相应盖章（或电子签章）或签字。否则视为未按照采购文件要求盖章或签字。</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7.1.1</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供应商</w:t>
      </w:r>
      <w:r>
        <w:rPr>
          <w:rFonts w:hint="eastAsia" w:ascii="宋体" w:hAnsi="宋体" w:cs="宋体"/>
          <w:color w:val="auto"/>
          <w:sz w:val="24"/>
          <w:highlight w:val="none"/>
        </w:rPr>
        <w:t xml:space="preserve">未在规定时间内提交最后报价的</w:t>
      </w:r>
      <w:r>
        <w:rPr>
          <w:rFonts w:hint="eastAsia" w:ascii="宋体" w:hAnsi="宋体"/>
          <w:color w:val="auto"/>
          <w:sz w:val="24"/>
          <w:highlight w:val="none"/>
        </w:rPr>
        <w:t xml:space="preserve">；</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7.1.1</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不同供应商的响应文件由同一单位或者个人编制的；不同供应商的磋商响应文件相互混传；</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7.1.1</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不同供应商委托同一单位或者个人办理磋商事宜；不同供应商的磋商响应文件错漏之处雷同；</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7.1.1</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不同供应商的响应文件载明的项目管理成员或者联系人员为同一人；</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7.1.1</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不同供应商的响应文件异常一致或者响应报价呈规律性差异。</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w:t>
      </w:r>
      <w:r>
        <w:rPr>
          <w:rFonts w:hint="eastAsia" w:ascii="宋体" w:hAnsi="宋体"/>
          <w:color w:val="auto"/>
          <w:sz w:val="24"/>
          <w:highlight w:val="none"/>
          <w:lang w:val="en-US" w:eastAsia="zh-CN"/>
        </w:rPr>
        <w:t xml:space="preserve">19</w:t>
      </w:r>
      <w:r>
        <w:rPr>
          <w:rFonts w:hint="eastAsia" w:ascii="宋体" w:hAnsi="宋体"/>
          <w:color w:val="auto"/>
          <w:sz w:val="24"/>
          <w:highlight w:val="none"/>
        </w:rPr>
        <w:t xml:space="preserve">供应商之间相互约定，一致抬高或压低投标报价；</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7.1.2</w:t>
      </w:r>
      <w:r>
        <w:rPr>
          <w:rFonts w:hint="eastAsia" w:ascii="宋体" w:hAnsi="宋体"/>
          <w:color w:val="auto"/>
          <w:sz w:val="24"/>
          <w:highlight w:val="none"/>
          <w:lang w:val="en-US" w:eastAsia="zh-CN"/>
        </w:rPr>
        <w:t xml:space="preserve">0</w:t>
      </w:r>
      <w:r>
        <w:rPr>
          <w:rFonts w:hint="eastAsia" w:ascii="宋体" w:hAnsi="宋体"/>
          <w:color w:val="auto"/>
          <w:sz w:val="24"/>
          <w:highlight w:val="none"/>
        </w:rPr>
        <w:t xml:space="preserve">供应商之间相互约定，在招标项目中轮流以高价位或低价位成交；</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7.1.2</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不同供应商的技术服务方案（或施工组织设计方案）基本雷同的；不同供应商的磋商响应文件出现了评审委员会认为不应当雷同的情况；</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7.1.2</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开标前已有举报，开标后发现各投标单位的报价情况与举报情况相吻合的；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7.1.2</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磋商小组一致认定判为无效响应的；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不同的供应商响应文件制作机器码、文件创建标识码一致的；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其他法律法规及本磋商文件规定的属于无效响应的情形：</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7.2凡磋商响应文件有下列情形之一的，属于重大偏差，视同未能对采购文件作出实质性响应，作无效响应处理。 </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7.2.1法人授权委托书或投标函未加盖投标供应商公章（或电子印章）的；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7.2.2未按采购文件规定的格式填写，内容不全或关键字迹模糊、无法辨认的； </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7.2.3供应商递交两份或多份内容不同的磋商响应文件，或在一份磋商响应文件中对同一采购项目报有两个或多个报价，且未</w:t>
      </w:r>
      <w:r>
        <w:rPr>
          <w:rFonts w:hint="eastAsia" w:ascii="宋体" w:hAnsi="宋体"/>
          <w:color w:val="auto"/>
          <w:sz w:val="24"/>
          <w:highlight w:val="none"/>
          <w:lang w:val="en-US" w:eastAsia="zh-CN"/>
        </w:rPr>
        <w:t xml:space="preserve">申</w:t>
      </w:r>
      <w:r>
        <w:rPr>
          <w:rFonts w:hint="eastAsia" w:ascii="宋体" w:hAnsi="宋体"/>
          <w:color w:val="auto"/>
          <w:sz w:val="24"/>
          <w:highlight w:val="none"/>
        </w:rPr>
        <w:t xml:space="preserve">明哪一个报价有效（按采购文件规定提交备选投标方案的除外）；</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7.2.4磋商响应文件载明的项目完成期限超过采购文件规定的期限；</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7.2.5明显不符合技术规范、技术标准的要求，或者对采购文件质量要求未明确响应的；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7.2.6投标报价低于成本；</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7.2.7磋商响应文件载明的货物包装方式、检验标准和方法等不符合采购文件的要求；</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7.2.8组成联合体参加磋商活动的，磋商响应文件未附联合体各方共同投标协议的；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7.2.9在同一采购项目中，联合体成员以自己名义单独参加磋商或者参加其他联合体磋商活动的；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7.2.10未按采购文件要求提供磋商响应文件内容不全的；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7.2.11以他人的名义投标、串通投标、以行贿手段谋取中标或者以其他弄虚作假方式投标的；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7.3出现下列情形之一的，磋商失败。</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7.3.1符合条件的供应商或者对磋商文件作实质响应的供应商不足3家的（符合《政府采购竞争性磋商采购方式管理办法》第三条第四项及《财政部关于竞争性磋商采购方式管理暂行办法有关问题的补充通知》（财库〔2015〕124号）规定情形的，提交最后报价的供应商可以为2家。</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7.3.2出现影响采购公正性的违法违规行为的；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7.3.3因重大变故，采购任务取消的。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7.3.4磋商小组认定磋商文件存在歧义、重大缺陷导致评审工作无法进行。</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7.3.5因系统故障原因造成磋商无法继续进行的（适用于不见面磋商模式）。</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7.4 响应文件提交截止时间结束后参加磋商的供应商不足三家的处理：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7.4.1如出现响应文件提交截止时间结束后参加磋商的供应商或者在评审期间对磋商文件做出实质响应的供应商不足三家的情况，按政府采购相关规定执行。</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六</w:t>
      </w:r>
      <w:bookmarkEnd w:id="97"/>
      <w:r>
        <w:rPr>
          <w:rFonts w:hint="eastAsia" w:ascii="宋体" w:hAnsi="宋体"/>
          <w:color w:val="auto"/>
          <w:sz w:val="24"/>
          <w:highlight w:val="none"/>
        </w:rPr>
        <w:t xml:space="preserve">、成交</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1.确定成交单位</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1.1成交候选供应商的选取原则和数量见磋商文件第四部分规定。</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1.2采购人授权磋商小组在成交候选供应商中直接确定成交供应商。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1.3采购代理机构将在“江苏政府采购网”发布成交结果公告，公告期限为1个工作日。</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1.4若有充分证据证明，成交供应商出现下列情况之一的，一经查实，将被取消成交资格：</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1.4.1提供虚假材料谋取成交的。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1.4.2向采购人或采购代理机构行贿或者为评审专家提供其他不正当利益的。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1.4.3恶意竞争，最后报价明显低于其自身合理成本且又无法提供证明的。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1.4.4属于本文件规定的无效条件，但在评审过程中又未被磋商小组发现的。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1.4.5</w:t>
      </w:r>
      <w:r>
        <w:rPr>
          <w:rFonts w:hint="eastAsia" w:ascii="宋体" w:hAnsi="宋体"/>
          <w:color w:val="auto"/>
          <w:sz w:val="24"/>
          <w:highlight w:val="none"/>
          <w:lang w:val="zh-CN"/>
        </w:rPr>
        <w:t xml:space="preserve">与评审专家、采购人、</w:t>
      </w:r>
      <w:r>
        <w:rPr>
          <w:rFonts w:hint="eastAsia" w:ascii="宋体" w:hAnsi="宋体"/>
          <w:color w:val="auto"/>
          <w:sz w:val="24"/>
          <w:highlight w:val="none"/>
        </w:rPr>
        <w:t xml:space="preserve">其他</w:t>
      </w:r>
      <w:r>
        <w:rPr>
          <w:rFonts w:hint="eastAsia" w:ascii="宋体" w:hAnsi="宋体"/>
          <w:color w:val="auto"/>
          <w:sz w:val="24"/>
          <w:highlight w:val="none"/>
          <w:lang w:val="zh-CN"/>
        </w:rPr>
        <w:t xml:space="preserve">供应商或者采购中心工作人员恶意串通的</w:t>
      </w:r>
      <w:r>
        <w:rPr>
          <w:rFonts w:hint="eastAsia" w:ascii="宋体" w:hAnsi="宋体"/>
          <w:color w:val="auto"/>
          <w:sz w:val="24"/>
          <w:highlight w:val="none"/>
        </w:rPr>
        <w:t xml:space="preserve">。</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1.4.6采取不正当手段诋毁、排挤其他供应商的。</w:t>
      </w:r>
      <w:r/>
    </w:p>
    <w:p>
      <w:pPr>
        <w:ind w:firstLine="480"/>
        <w:spacing w:line="360" w:lineRule="auto"/>
        <w:tabs>
          <w:tab w:val="left" w:pos="900" w:leader="none"/>
        </w:tabs>
        <w:rPr>
          <w:rFonts w:ascii="宋体" w:hAnsi="宋体"/>
          <w:color w:val="auto"/>
          <w:sz w:val="24"/>
          <w:highlight w:val="none"/>
          <w:lang w:val="zh-CN"/>
        </w:rPr>
      </w:pPr>
      <w:r>
        <w:rPr>
          <w:rFonts w:hint="eastAsia" w:ascii="宋体" w:hAnsi="宋体"/>
          <w:color w:val="auto"/>
          <w:sz w:val="24"/>
          <w:highlight w:val="none"/>
        </w:rPr>
        <w:t xml:space="preserve">1.4.7</w:t>
      </w:r>
      <w:r>
        <w:rPr>
          <w:rFonts w:hint="eastAsia" w:ascii="宋体" w:hAnsi="宋体"/>
          <w:color w:val="auto"/>
          <w:sz w:val="24"/>
          <w:highlight w:val="none"/>
          <w:lang w:val="zh-CN"/>
        </w:rPr>
        <w:t xml:space="preserve">成交后无正当理由拒不与采购人签订政府采购合同或者未按照磋商文件确定的事项签订政府采购合同的。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1.4.8</w:t>
      </w:r>
      <w:r>
        <w:rPr>
          <w:rFonts w:hint="eastAsia" w:ascii="宋体" w:hAnsi="宋体"/>
          <w:color w:val="auto"/>
          <w:sz w:val="24"/>
          <w:highlight w:val="none"/>
          <w:lang w:val="zh-CN"/>
        </w:rPr>
        <w:t xml:space="preserve">将政府采购合同转包的。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1.5.有下列情形之一的，视为供应商串通参与磋商，响应无效：</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1.5.1不同供应商的响应文件由同一单位或者个人编制；</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1.5.2不同供应商委托同一单位或者个人办理磋商事宜；</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1.5.3不同供应商的响应文件载明的项目管理成员或者联系人员为同一人；</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1.5.4不同供应商的响应文件异常一致或者响应报价呈规律性差异。</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2.质疑处理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2.1提出质疑的供应商应当是参与所质疑项目采购活动的供应商。潜在供应商依法获取其可质疑的磋商文件的，可以对磋商文件提出质疑。</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2.2供应商认为</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文件、采购过程和</w:t>
      </w:r>
      <w:r>
        <w:rPr>
          <w:rFonts w:hint="eastAsia" w:ascii="宋体" w:hAnsi="宋体"/>
          <w:color w:val="auto"/>
          <w:sz w:val="24"/>
          <w:highlight w:val="none"/>
          <w:lang w:val="en-US" w:eastAsia="zh-CN"/>
        </w:rPr>
        <w:t xml:space="preserve">中标、成交</w:t>
      </w:r>
      <w:r>
        <w:rPr>
          <w:rFonts w:hint="eastAsia" w:ascii="宋体" w:hAnsi="宋体"/>
          <w:color w:val="auto"/>
          <w:sz w:val="24"/>
          <w:highlight w:val="none"/>
        </w:rPr>
        <w:t xml:space="preserve">结果使自己的权益受到损害的，可以在知道或</w:t>
      </w:r>
      <w:r>
        <w:rPr>
          <w:rFonts w:hint="eastAsia" w:ascii="宋体" w:hAnsi="宋体"/>
          <w:color w:val="auto"/>
          <w:sz w:val="24"/>
          <w:highlight w:val="none"/>
          <w:lang w:val="en-US" w:eastAsia="zh-CN"/>
        </w:rPr>
        <w:t xml:space="preserve">者</w:t>
      </w:r>
      <w:r>
        <w:rPr>
          <w:rFonts w:hint="eastAsia" w:ascii="宋体" w:hAnsi="宋体"/>
          <w:color w:val="auto"/>
          <w:sz w:val="24"/>
          <w:highlight w:val="none"/>
        </w:rPr>
        <w:t xml:space="preserve">应知其权益受到损害之日起七个工作日内，以书面形式向采购人提出质疑。上述应知其权益受到损害之日，是指：</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2.2.1对可以质疑的磋商文件提出质疑的，为收到磋商文件之日或者磋商文件公告期限届满之日；</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2.2.2对采购过程提出质疑的，为各采购程序环节结束之日；</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其中：对评审过程中涉及的身份核对、澄清等程序性事项，供应商如有异议的，必须当场提出。否则，均视为供应商无异议。无论是否成交，供应商事后不得再就前述事项提出任何异议或质疑投诉。</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2.2.3对成交结果提出质疑的，为成交结果公告期限届满之日。</w:t>
      </w:r>
      <w:r/>
    </w:p>
    <w:p>
      <w:pPr>
        <w:ind w:firstLine="480"/>
        <w:spacing w:line="360" w:lineRule="auto"/>
        <w:tabs>
          <w:tab w:val="left" w:pos="900" w:leader="none"/>
        </w:tabs>
        <w:rPr>
          <w:rFonts w:ascii="宋体" w:hAnsi="宋体"/>
          <w:color w:val="auto"/>
          <w:sz w:val="24"/>
          <w:highlight w:val="none"/>
          <w:lang w:val="zh-CN"/>
        </w:rPr>
      </w:pPr>
      <w:r>
        <w:rPr>
          <w:rFonts w:hint="eastAsia" w:ascii="宋体" w:hAnsi="宋体"/>
          <w:color w:val="auto"/>
          <w:sz w:val="24"/>
          <w:highlight w:val="none"/>
        </w:rPr>
        <w:t xml:space="preserve">供应商应当在法定质疑期内一次性提出针对同一采购程序环节的质疑。</w:t>
      </w:r>
      <w:r>
        <w:rPr>
          <w:rFonts w:hint="eastAsia" w:ascii="宋体" w:hAnsi="宋体"/>
          <w:color w:val="auto"/>
          <w:sz w:val="24"/>
          <w:highlight w:val="none"/>
          <w:lang w:val="zh-CN"/>
        </w:rPr>
        <w:t xml:space="preserve">供应商如在法定期限内对同一采购程序环节提出多次质疑的，采购人、</w:t>
      </w:r>
      <w:r>
        <w:rPr>
          <w:rFonts w:hint="eastAsia" w:ascii="宋体" w:hAnsi="宋体"/>
          <w:color w:val="auto"/>
          <w:sz w:val="24"/>
          <w:highlight w:val="none"/>
        </w:rPr>
        <w:t xml:space="preserve">采购代理机构</w:t>
      </w:r>
      <w:r>
        <w:rPr>
          <w:rFonts w:hint="eastAsia" w:ascii="宋体" w:hAnsi="宋体"/>
          <w:color w:val="auto"/>
          <w:sz w:val="24"/>
          <w:highlight w:val="none"/>
          <w:lang w:val="zh-CN"/>
        </w:rPr>
        <w:t xml:space="preserve">将只对供应商第一次质疑作出答复。</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2.3质疑函必须按照本磋商文件中《质疑函范本》要求的格式和内容进行填写。供应商如组成联合体参加磋商，在《质疑函范本》中要求签字、盖章、加盖公章之处，联合体各方均须按要求签字、盖章、加盖公章。</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2.4质疑答复依据《政府采购质疑和投诉办法》（财政部令第94号）。</w:t>
      </w:r>
      <w:r>
        <w:rPr>
          <w:rFonts w:hint="eastAsia" w:ascii="宋体" w:hAnsi="宋体" w:cs="宋体"/>
          <w:color w:val="auto"/>
          <w:sz w:val="24"/>
          <w:highlight w:val="none"/>
        </w:rPr>
        <w:t xml:space="preserve">采购人只接收以纸质原件形式送达的质疑，</w:t>
      </w:r>
      <w:r>
        <w:rPr>
          <w:rFonts w:hint="eastAsia" w:ascii="宋体" w:hAnsi="宋体"/>
          <w:color w:val="auto"/>
          <w:sz w:val="24"/>
          <w:highlight w:val="none"/>
        </w:rPr>
        <w:t xml:space="preserve">采购人或采购代理机构质疑接收人及联系方式，见磋商文件第一章。</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2.5 以下情形的质疑不予受理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2.5.1内容不符合《政府采购质疑和投诉办法》第十二条规定的质疑。</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2.5.2超出政府采购法定期限的质疑。</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2.5.3</w:t>
      </w:r>
      <w:r>
        <w:rPr>
          <w:rFonts w:hint="eastAsia" w:ascii="宋体" w:hAnsi="宋体" w:cs="宋体"/>
          <w:color w:val="auto"/>
          <w:sz w:val="24"/>
          <w:highlight w:val="none"/>
        </w:rPr>
        <w:t xml:space="preserve">以传真、电子邮件等方式递交的非原件形式的质疑。</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2.5.4未参加磋商活动的供应商或在磋商活动中自身权益未受到损害的供应商所提出的质疑。</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2.5.5供应商组成联合体参加磋商，联合体中任何一方或多方未按要求签字、盖章、加盖公章的质疑。</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七、成交通知书</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成交结果确定后，采购人或者采购代理机构将向成交供应商发出成交通知书。请成交供应商在成交结果公告期满之日起30日内，使用CA数字证书登录苏采云系统及时下载成交通知书或联系采购代理机构领取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2.成交通知书将是合同的一个组成部分。对采购人和成交供应商均具有法律效力。</w:t>
      </w:r>
      <w:r>
        <w:rPr>
          <w:rFonts w:hint="eastAsia" w:ascii="宋体" w:hAnsi="宋体"/>
          <w:color w:val="auto"/>
          <w:sz w:val="24"/>
          <w:highlight w:val="none"/>
          <w:lang w:val="en-US" w:eastAsia="zh-CN"/>
        </w:rPr>
        <w:t xml:space="preserve">中标、</w:t>
      </w:r>
      <w:r>
        <w:rPr>
          <w:rFonts w:hint="eastAsia" w:ascii="宋体" w:hAnsi="宋体"/>
          <w:color w:val="auto"/>
          <w:sz w:val="24"/>
          <w:highlight w:val="none"/>
        </w:rPr>
        <w:t xml:space="preserve">成交通知书发出后，采购人改变</w:t>
      </w:r>
      <w:r>
        <w:rPr>
          <w:rFonts w:hint="eastAsia" w:ascii="宋体" w:hAnsi="宋体"/>
          <w:color w:val="auto"/>
          <w:sz w:val="24"/>
          <w:highlight w:val="none"/>
          <w:lang w:val="en-US" w:eastAsia="zh-CN"/>
        </w:rPr>
        <w:t xml:space="preserve">中标、</w:t>
      </w:r>
      <w:r>
        <w:rPr>
          <w:rFonts w:hint="eastAsia" w:ascii="宋体" w:hAnsi="宋体"/>
          <w:color w:val="auto"/>
          <w:sz w:val="24"/>
          <w:highlight w:val="none"/>
        </w:rPr>
        <w:t xml:space="preserve">成交结果的，或者</w:t>
      </w:r>
      <w:r>
        <w:rPr>
          <w:rFonts w:hint="eastAsia" w:ascii="宋体" w:hAnsi="宋体"/>
          <w:color w:val="auto"/>
          <w:sz w:val="24"/>
          <w:highlight w:val="none"/>
          <w:lang w:val="en-US" w:eastAsia="zh-CN"/>
        </w:rPr>
        <w:t xml:space="preserve">中标、</w:t>
      </w:r>
      <w:r>
        <w:rPr>
          <w:rFonts w:hint="eastAsia" w:ascii="宋体" w:hAnsi="宋体"/>
          <w:color w:val="auto"/>
          <w:sz w:val="24"/>
          <w:highlight w:val="none"/>
        </w:rPr>
        <w:t xml:space="preserve">成交供应商放弃成交项目的，应当依法承担法律责任。</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八、授予合同</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1.签订合同</w:t>
      </w:r>
      <w:r/>
    </w:p>
    <w:p>
      <w:pPr>
        <w:ind w:firstLine="477"/>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1.l成交供应商应当在成交通知书发出之日起三十日内，按照磋商文件确定的事项与采购人签订政府采购合同，否则由此给采购人造成损失的，成交供应商还应承担赔偿责任。</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签订合同时需做好提交各类声明函、承诺函、业绩证明、资质、证书等相应原件的核查准备；核查后发现虚假或违背承诺的，依照相关法律法规规定处理。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1.2磋商文件、成交供应商的响应文件及磋商过程中有关澄清、承诺文件均应作为合同附件。</w:t>
      </w:r>
      <w:r/>
    </w:p>
    <w:p>
      <w:pPr>
        <w:ind w:firstLine="480"/>
        <w:spacing w:line="360" w:lineRule="auto"/>
        <w:tabs>
          <w:tab w:val="left" w:pos="900" w:leader="none"/>
        </w:tabs>
        <w:rPr>
          <w:rFonts w:ascii="宋体" w:hAnsi="宋体"/>
          <w:color w:val="auto"/>
          <w:sz w:val="24"/>
          <w:highlight w:val="none"/>
          <w:lang w:val="zh-CN"/>
        </w:rPr>
      </w:pPr>
      <w:r>
        <w:rPr>
          <w:rFonts w:hint="eastAsia" w:ascii="宋体" w:hAnsi="宋体"/>
          <w:color w:val="auto"/>
          <w:sz w:val="24"/>
          <w:highlight w:val="none"/>
        </w:rPr>
        <w:t xml:space="preserve">1.3签订合同后，成交供应商不得将合同标的进行转包。未经采购人同意，</w:t>
      </w:r>
      <w:r>
        <w:rPr>
          <w:rFonts w:hint="eastAsia" w:ascii="宋体" w:hAnsi="宋体"/>
          <w:color w:val="auto"/>
          <w:sz w:val="24"/>
          <w:highlight w:val="none"/>
          <w:lang w:val="zh-CN"/>
        </w:rPr>
        <w:t xml:space="preserve">成交供应商也不得采用分包形式履行合同，否则采购人有权终止合同。转包或分包造成采购人损失的，成交供应商应承担相应赔偿责任。</w:t>
      </w:r>
      <w:r/>
    </w:p>
    <w:p>
      <w:pPr>
        <w:ind w:firstLine="480"/>
        <w:spacing w:line="360" w:lineRule="auto"/>
        <w:tabs>
          <w:tab w:val="left" w:pos="900" w:leader="none"/>
        </w:tabs>
        <w:rPr>
          <w:rFonts w:ascii="宋体" w:hAnsi="宋体"/>
          <w:color w:val="auto"/>
          <w:sz w:val="24"/>
          <w:highlight w:val="none"/>
          <w:lang w:val="zh-CN"/>
        </w:rPr>
      </w:pPr>
      <w:r>
        <w:rPr>
          <w:rFonts w:hint="eastAsia" w:ascii="宋体" w:hAnsi="宋体"/>
          <w:color w:val="auto"/>
          <w:sz w:val="24"/>
          <w:highlight w:val="none"/>
          <w:lang w:val="zh-CN"/>
        </w:rPr>
        <w:t xml:space="preserve">2. 合同追加</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2.1采购人根据项目需要追加与合同标的相同的货物、工程或者服务的，须经采购人和成交供应商书面确认，在不改变合同其他条款的前提下，所有补充合同的采购金额不得超过原合同采购金额的10%，追加的货物或服务须另行签订补充合同。</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2.2</w:t>
      </w:r>
      <w:r>
        <w:rPr>
          <w:rFonts w:ascii="宋体" w:hAnsi="宋体"/>
          <w:color w:val="auto"/>
          <w:sz w:val="24"/>
          <w:highlight w:val="none"/>
        </w:rPr>
        <w:t xml:space="preserve">因重大决策变化，导致采购任务取消的。除退还</w:t>
      </w:r>
      <w:r>
        <w:rPr>
          <w:rFonts w:hint="eastAsia" w:ascii="宋体" w:hAnsi="宋体"/>
          <w:color w:val="auto"/>
          <w:sz w:val="24"/>
          <w:highlight w:val="none"/>
        </w:rPr>
        <w:t xml:space="preserve">成交供应商</w:t>
      </w:r>
      <w:r>
        <w:rPr>
          <w:rFonts w:ascii="宋体" w:hAnsi="宋体"/>
          <w:color w:val="auto"/>
          <w:sz w:val="24"/>
          <w:highlight w:val="none"/>
        </w:rPr>
        <w:t xml:space="preserve">实际已支付费用外，</w:t>
      </w:r>
      <w:r>
        <w:rPr>
          <w:rFonts w:hint="eastAsia" w:ascii="宋体" w:hAnsi="宋体"/>
          <w:color w:val="auto"/>
          <w:sz w:val="24"/>
          <w:highlight w:val="none"/>
        </w:rPr>
        <w:t xml:space="preserve">采购人</w:t>
      </w:r>
      <w:r>
        <w:rPr>
          <w:rFonts w:ascii="宋体" w:hAnsi="宋体"/>
          <w:color w:val="auto"/>
          <w:sz w:val="24"/>
          <w:highlight w:val="none"/>
        </w:rPr>
        <w:t xml:space="preserve">不承担其他任何费用及损失。若因</w:t>
      </w:r>
      <w:r>
        <w:rPr>
          <w:rFonts w:hint="eastAsia" w:ascii="宋体" w:hAnsi="宋体"/>
          <w:color w:val="auto"/>
          <w:sz w:val="24"/>
          <w:highlight w:val="none"/>
        </w:rPr>
        <w:t xml:space="preserve">成交供应商</w:t>
      </w:r>
      <w:r>
        <w:rPr>
          <w:rFonts w:ascii="宋体" w:hAnsi="宋体"/>
          <w:color w:val="auto"/>
          <w:sz w:val="24"/>
          <w:highlight w:val="none"/>
        </w:rPr>
        <w:t xml:space="preserve">原因导致项目无法完成，因此产生的损失将由</w:t>
      </w:r>
      <w:r>
        <w:rPr>
          <w:rFonts w:hint="eastAsia" w:ascii="宋体" w:hAnsi="宋体"/>
          <w:color w:val="auto"/>
          <w:sz w:val="24"/>
          <w:highlight w:val="none"/>
        </w:rPr>
        <w:t xml:space="preserve">成交供应商承担</w:t>
      </w:r>
      <w:r>
        <w:rPr>
          <w:rFonts w:ascii="宋体" w:hAnsi="宋体"/>
          <w:color w:val="auto"/>
          <w:sz w:val="24"/>
          <w:highlight w:val="none"/>
        </w:rPr>
        <w:t xml:space="preserve">。</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九、电子招标投标交易平台</w:t>
      </w:r>
      <w:r/>
    </w:p>
    <w:p>
      <w:pPr>
        <w:ind w:firstLine="480"/>
        <w:spacing w:line="360" w:lineRule="auto"/>
        <w:tabs>
          <w:tab w:val="left" w:pos="900" w:leader="none"/>
        </w:tabs>
        <w:rPr>
          <w:rFonts w:ascii="宋体" w:hAnsi="宋体"/>
          <w:color w:val="auto"/>
          <w:sz w:val="24"/>
          <w:highlight w:val="none"/>
          <w:lang w:eastAsia="en-US"/>
        </w:rPr>
      </w:pPr>
      <w:r>
        <w:rPr>
          <w:rFonts w:hint="eastAsia" w:ascii="宋体" w:hAnsi="宋体"/>
          <w:color w:val="auto"/>
          <w:sz w:val="24"/>
          <w:highlight w:val="none"/>
          <w:lang w:eastAsia="en-US"/>
        </w:rPr>
        <w:t xml:space="preserve">电子招标投标交易平台（即“苏采云”系统，网址：</w:t>
      </w:r>
      <w:r>
        <w:rPr>
          <w:color w:val="auto"/>
          <w:highlight w:val="none"/>
        </w:rPr>
        <w:fldChar w:fldCharType="begin"/>
      </w:r>
      <w:r>
        <w:rPr>
          <w:color w:val="auto"/>
          <w:highlight w:val="none"/>
        </w:rPr>
        <w:instrText xml:space="preserve"> HYPERLINK "http://jszfcg.jsczt.cn/）相关要求是本采购文件的组成部分。" </w:instrText>
      </w:r>
      <w:r>
        <w:rPr>
          <w:color w:val="auto"/>
          <w:highlight w:val="none"/>
        </w:rPr>
        <w:fldChar w:fldCharType="separate"/>
      </w:r>
      <w:r>
        <w:rPr>
          <w:rFonts w:hint="eastAsia" w:ascii="宋体" w:hAnsi="宋体"/>
          <w:color w:val="auto"/>
          <w:sz w:val="24"/>
          <w:highlight w:val="none"/>
          <w:lang w:eastAsia="en-US"/>
        </w:rPr>
        <w:t xml:space="preserve">http://jszfcg.jsczt.cn/）相关要求是本采购文件的组成部分。</w:t>
      </w:r>
      <w:r>
        <w:rPr>
          <w:rFonts w:hint="eastAsia" w:ascii="宋体" w:hAnsi="宋体"/>
          <w:color w:val="auto"/>
          <w:sz w:val="24"/>
          <w:highlight w:val="none"/>
          <w:lang w:eastAsia="en-US"/>
        </w:rPr>
        <w:fldChar w:fldCharType="end"/>
      </w:r>
      <w:r/>
    </w:p>
    <w:p>
      <w:pPr>
        <w:numPr>
          <w:ilvl w:val="0"/>
          <w:numId w:val="4"/>
        </w:num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履约保证金</w:t>
      </w:r>
      <w:r/>
    </w:p>
    <w:p>
      <w:pPr>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    本项目不收</w:t>
      </w:r>
      <w:r>
        <w:rPr>
          <w:rFonts w:hint="eastAsia" w:ascii="宋体" w:hAnsi="宋体"/>
          <w:color w:val="auto"/>
          <w:sz w:val="24"/>
          <w:highlight w:val="none"/>
          <w:lang w:val="en-US" w:eastAsia="zh-CN"/>
        </w:rPr>
        <w:t xml:space="preserve">取</w:t>
      </w:r>
      <w:r>
        <w:rPr>
          <w:rFonts w:hint="eastAsia" w:ascii="宋体" w:hAnsi="宋体"/>
          <w:color w:val="auto"/>
          <w:sz w:val="24"/>
          <w:highlight w:val="none"/>
        </w:rPr>
        <w:t xml:space="preserve">履约保证金。</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十一、政府采购政策：</w:t>
      </w:r>
      <w:r/>
    </w:p>
    <w:p>
      <w:pPr>
        <w:pStyle w:val="1185"/>
        <w:ind w:firstLine="431"/>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中小微型企业：根据财政部工业和信息化部关于印发《政府采购促进中小企业发展管理办法》的通知（财库〔2020〕46号）的相关规定及江苏省财政厅《江苏省财政厅关于进一步加大政府采购支持中小企业力度的通知》（苏财购〔2022〕45号）执行。如供应商认定本企业为中型、小型、微型企业，则需根据《中小企业划型标准规定》（工信部联企业〔2011〕300号）提交《中小企业声明函》并加盖公章。</w:t>
      </w:r>
      <w:r/>
    </w:p>
    <w:p>
      <w:pPr>
        <w:pStyle w:val="1185"/>
        <w:ind w:firstLine="431"/>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残疾人福利性单位：根据《三部门联合发布关于促进残疾人就业政府采购政策的通知》（财库〔2017〕141号）的相关规定执行。如供应商为残疾人福利性单位，则视同小型企业。残疾人福利性单位属于小型、微型企业的，不重复享受政策。如供应商认定本企业为残疾人福利性单位，应提交《残疾人福利性单位声明函》并加盖公章。</w:t>
      </w:r>
      <w:r/>
    </w:p>
    <w:p>
      <w:pPr>
        <w:pStyle w:val="1185"/>
        <w:ind w:firstLine="431"/>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监狱企业：根据《财政部司法部关于政府采购支持监狱企业发展有关问题的通知》（财库〔2014〕68号）的相关规定执行。如供应商为监狱企业，应当提供由省级以上监狱管理局、戒毒管理局（含新疆生产建设兵团）出具的属于监狱企业的证明文件，则视同小型企业监狱企业属于小型、微型企业的，不重复享受政策。</w:t>
      </w:r>
      <w:r/>
    </w:p>
    <w:p>
      <w:pPr>
        <w:pStyle w:val="1185"/>
        <w:ind w:firstLine="431"/>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w:t>
      </w:r>
      <w:r>
        <w:rPr>
          <w:rFonts w:hint="eastAsia" w:ascii="宋体" w:hAnsi="宋体"/>
          <w:color w:val="auto"/>
          <w:sz w:val="24"/>
          <w:szCs w:val="24"/>
          <w:highlight w:val="none"/>
          <w:lang w:val="en-US" w:eastAsia="zh-CN"/>
        </w:rPr>
        <w:t xml:space="preserve">中的</w:t>
      </w:r>
      <w:r>
        <w:rPr>
          <w:rFonts w:hint="eastAsia" w:ascii="宋体" w:hAnsi="宋体"/>
          <w:color w:val="auto"/>
          <w:sz w:val="24"/>
          <w:szCs w:val="24"/>
          <w:highlight w:val="none"/>
        </w:rPr>
        <w:t xml:space="preserve">政府强制采购产品，按文件执行。</w:t>
      </w:r>
      <w:r/>
    </w:p>
    <w:p>
      <w:pPr>
        <w:pStyle w:val="1185"/>
        <w:ind w:firstLine="431"/>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5.根据《商品包装政府采购需求标准（试行）》《快递包装政府采购需求标准（试行）》的通知（财办库〔2020〕123号要求，商品使用的塑料、纸质、木材等包装需达到环保要求。</w:t>
      </w:r>
      <w:r/>
    </w:p>
    <w:p>
      <w:pPr>
        <w:pStyle w:val="1185"/>
        <w:ind w:firstLine="431"/>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根据泰财购〔2023〕33号文市财政局国家金融监督管理总局泰州监管分局市地方金融监督管理局关于转发《江苏省财政厅国家金融监督管理总局江苏监管局江苏省地方金融监督管理局关于在全省政府采购领域推行电子履约保函（保险）的通知》，履约保证金（如有）接收电子履约保函（保险）。</w:t>
      </w:r>
      <w:r/>
    </w:p>
    <w:p>
      <w:pPr>
        <w:pStyle w:val="1185"/>
        <w:ind w:firstLine="431"/>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7.成交供应商可凭政府采购合同办理融资贷款，详情详见江苏政府采购网“政采贷”专栏。</w:t>
      </w:r>
      <w:r/>
    </w:p>
    <w:p>
      <w:pPr>
        <w:pStyle w:val="1185"/>
        <w:ind w:firstLine="431"/>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8.若供应商提供的《中小企业声明函》《残疾人福利性单位声明函》及监狱企业认定证明等材料为虚假材料，按《中华人民共和国政府采购法》相关规定处理并报请政府采购监管部门给予行政处罚。</w:t>
      </w:r>
      <w:r/>
    </w:p>
    <w:p>
      <w:pPr>
        <w:pStyle w:val="1185"/>
        <w:ind w:firstLine="431"/>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9.专门面向中小微企业采购的项目，小微企业不再享受价格扣除优惠政策。</w:t>
      </w:r>
      <w:r/>
    </w:p>
    <w:p>
      <w:pPr>
        <w:pStyle w:val="1185"/>
        <w:ind w:firstLine="431"/>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10.未按要求提供相关材料的，不享受相关政策。</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十二、</w:t>
      </w:r>
      <w:r>
        <w:rPr>
          <w:rFonts w:hint="eastAsia" w:ascii="宋体" w:hAnsi="宋体" w:cs="宋体"/>
          <w:color w:val="auto"/>
          <w:sz w:val="24"/>
          <w:highlight w:val="none"/>
        </w:rPr>
        <w:t xml:space="preserve">其他说明</w:t>
      </w:r>
      <w:r>
        <w:rPr>
          <w:rFonts w:hint="eastAsia" w:ascii="宋体" w:hAnsi="宋体"/>
          <w:color w:val="auto"/>
          <w:sz w:val="24"/>
          <w:highlight w:val="none"/>
        </w:rPr>
        <w:t xml:space="preserve">：</w:t>
      </w:r>
      <w:r/>
    </w:p>
    <w:p>
      <w:pPr>
        <w:contextualSpacing/>
        <w:ind w:firstLine="480"/>
        <w:spacing w:line="360" w:lineRule="auto"/>
        <w:tabs>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1.响应文件格式中需签字或盖章处均可以用电子签名或电子章代替。</w:t>
      </w:r>
      <w:r/>
    </w:p>
    <w:p>
      <w:pPr>
        <w:ind w:firstLine="480"/>
        <w:spacing w:line="360" w:lineRule="auto"/>
        <w:tabs>
          <w:tab w:val="left" w:pos="900" w:leader="none"/>
        </w:tabs>
        <w:rPr>
          <w:rFonts w:ascii="宋体" w:hAnsi="宋体"/>
          <w:color w:val="auto"/>
          <w:sz w:val="24"/>
          <w:highlight w:val="none"/>
        </w:rPr>
      </w:pPr>
      <w:r>
        <w:rPr>
          <w:rFonts w:ascii="宋体" w:hAnsi="宋体"/>
          <w:color w:val="auto"/>
          <w:sz w:val="24"/>
          <w:highlight w:val="none"/>
        </w:rPr>
      </w:r>
      <w:r/>
    </w:p>
    <w:p>
      <w:pPr>
        <w:pStyle w:val="1185"/>
        <w:ind w:firstLine="431"/>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tabs>
          <w:tab w:val="left" w:pos="900" w:leader="none"/>
        </w:tabs>
        <w:rPr>
          <w:rFonts w:ascii="宋体" w:hAnsi="宋体"/>
          <w:color w:val="auto"/>
          <w:sz w:val="24"/>
          <w:highlight w:val="none"/>
        </w:rPr>
      </w:pPr>
      <w:r>
        <w:rPr>
          <w:rFonts w:ascii="宋体" w:hAnsi="宋体"/>
          <w:color w:val="auto"/>
          <w:sz w:val="24"/>
          <w:highlight w:val="none"/>
        </w:rPr>
      </w:r>
      <w:r/>
    </w:p>
    <w:p>
      <w:pPr>
        <w:ind w:firstLine="480"/>
        <w:spacing w:line="360" w:lineRule="auto"/>
        <w:tabs>
          <w:tab w:val="left" w:pos="900" w:leader="none"/>
        </w:tabs>
        <w:rPr>
          <w:rFonts w:ascii="宋体" w:hAnsi="宋体"/>
          <w:color w:val="auto"/>
          <w:sz w:val="24"/>
          <w:highlight w:val="none"/>
        </w:rPr>
      </w:pPr>
      <w:r>
        <w:rPr>
          <w:rFonts w:ascii="宋体" w:hAnsi="宋体"/>
          <w:color w:val="auto"/>
          <w:sz w:val="24"/>
          <w:highlight w:val="none"/>
        </w:rPr>
      </w:r>
      <w:bookmarkEnd w:id="52"/>
      <w:r/>
      <w:bookmarkEnd w:id="53"/>
      <w:r/>
      <w:bookmarkEnd w:id="54"/>
      <w:r/>
      <w:r/>
    </w:p>
    <w:p>
      <w:pPr>
        <w:numPr>
          <w:ilvl w:val="0"/>
          <w:numId w:val="0"/>
        </w:numPr>
        <w:jc w:val="center"/>
        <w:spacing w:line="240" w:lineRule="auto"/>
        <w:rPr>
          <w:rFonts w:hint="eastAsia" w:ascii="宋体" w:hAnsi="宋体" w:cs="宋体" w:eastAsiaTheme="minorEastAsia"/>
          <w:b/>
          <w:color w:val="auto"/>
          <w:sz w:val="30"/>
          <w:highlight w:val="none"/>
          <w:lang w:val="en-US" w:eastAsia="zh-CN"/>
        </w:rPr>
        <w:pBdr>
          <w:top w:val="none" w:color="000000" w:sz="0" w:space="0"/>
          <w:left w:val="none" w:color="000000" w:sz="0" w:space="0"/>
          <w:bottom w:val="none" w:color="000000" w:sz="0" w:space="0"/>
          <w:right w:val="none" w:color="000000" w:sz="0" w:space="0"/>
        </w:pBdr>
      </w:pPr>
      <w:r>
        <w:rPr>
          <w:color w:val="auto"/>
          <w:sz w:val="24"/>
          <w:highlight w:val="none"/>
        </w:rPr>
        <w:br w:type="page" w:clear="all"/>
      </w:r>
      <w:bookmarkEnd w:id="35"/>
      <w:r/>
      <w:bookmarkStart w:id="98" w:name="_Toc20823346"/>
      <w:r/>
      <w:bookmarkStart w:id="99" w:name="_Toc475009299"/>
      <w:r/>
      <w:bookmarkStart w:id="100" w:name="_Toc481072015"/>
      <w:r/>
      <w:bookmarkStart w:id="101" w:name="_Toc511305209"/>
      <w:r/>
      <w:bookmarkStart w:id="102" w:name="_Toc481071969"/>
      <w:r/>
      <w:bookmarkStart w:id="103" w:name="_Toc120614244"/>
      <w:r/>
      <w:bookmarkStart w:id="104" w:name="_Hlt16619350"/>
      <w:r/>
      <w:bookmarkStart w:id="105" w:name="_Toc16938590"/>
      <w:r/>
      <w:bookmarkStart w:id="106" w:name="_Toc3383091"/>
      <w:r>
        <w:rPr>
          <w:rFonts w:hint="eastAsia" w:ascii="宋体" w:hAnsi="宋体" w:cs="宋体" w:eastAsiaTheme="minorEastAsia"/>
          <w:b/>
          <w:color w:val="auto"/>
          <w:sz w:val="30"/>
          <w:highlight w:val="none"/>
          <w:lang w:val="en-US" w:eastAsia="zh-CN"/>
        </w:rPr>
        <w:t xml:space="preserve">第三章合同条款及格式</w:t>
      </w:r>
      <w:r/>
    </w:p>
    <w:p>
      <w:pPr>
        <w:pStyle w:val="1185"/>
        <w:ind w:firstLine="431"/>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1185"/>
        <w:ind w:firstLine="431"/>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合同书（</w:t>
      </w:r>
      <w:r>
        <w:rPr>
          <w:rFonts w:hint="eastAsia" w:ascii="宋体" w:hAnsi="宋体"/>
          <w:color w:val="auto"/>
          <w:sz w:val="24"/>
          <w:szCs w:val="24"/>
          <w:highlight w:val="none"/>
          <w:lang w:val="en-US" w:eastAsia="zh-CN"/>
        </w:rPr>
        <w:t xml:space="preserve">参考</w:t>
      </w:r>
      <w:r>
        <w:rPr>
          <w:rFonts w:hint="eastAsia" w:ascii="宋体" w:hAnsi="宋体"/>
          <w:color w:val="auto"/>
          <w:sz w:val="24"/>
          <w:szCs w:val="24"/>
          <w:highlight w:val="none"/>
        </w:rPr>
        <w:t xml:space="preserve">）</w:t>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（以下简称甲方） 供应商：</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（以下简称乙方）</w:t>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住所地：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住所地：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根据《中华人民共和国政府采购法》、《</w:t>
      </w:r>
      <w:r>
        <w:rPr>
          <w:rFonts w:hint="eastAsia" w:ascii="宋体" w:hAnsi="宋体"/>
          <w:color w:val="auto"/>
          <w:sz w:val="24"/>
          <w:szCs w:val="24"/>
          <w:highlight w:val="none"/>
          <w:lang w:val="en-US" w:eastAsia="zh-CN"/>
        </w:rPr>
        <w:t xml:space="preserve">中华人民共和国</w:t>
      </w:r>
      <w:r>
        <w:rPr>
          <w:rFonts w:hint="eastAsia" w:ascii="宋体" w:hAnsi="宋体"/>
          <w:color w:val="auto"/>
          <w:sz w:val="24"/>
          <w:szCs w:val="24"/>
          <w:highlight w:val="none"/>
        </w:rPr>
        <w:t xml:space="preserve">民法典》等法律法规的规定，甲乙双方按照招标结果签订本合同。</w:t>
      </w:r>
      <w:r/>
    </w:p>
    <w:p>
      <w:pPr>
        <w:pStyle w:val="1185"/>
        <w:numPr>
          <w:ilvl w:val="0"/>
          <w:numId w:val="5"/>
        </w:numPr>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合同标的 </w:t>
      </w:r>
      <w:r>
        <w:rPr>
          <w:rFonts w:hint="eastAsia" w:ascii="宋体" w:hAnsi="宋体"/>
          <w:color w:val="auto"/>
          <w:sz w:val="24"/>
          <w:szCs w:val="24"/>
          <w:highlight w:val="none"/>
          <w:lang w:val="en-US" w:eastAsia="zh-CN"/>
        </w:rPr>
        <w:t xml:space="preserve">        </w:t>
      </w:r>
      <w:r/>
    </w:p>
    <w:p>
      <w:pPr>
        <w:pStyle w:val="1185"/>
        <w:numPr>
          <w:ilvl w:val="0"/>
          <w:numId w:val="0"/>
        </w:num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乙方根据甲方需求提供下列服务：</w:t>
      </w:r>
      <w:r/>
    </w:p>
    <w:tbl>
      <w:tblPr>
        <w:tblStyle w:val="1195"/>
        <w:tblW w:w="83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77"/>
        <w:gridCol w:w="2072"/>
        <w:gridCol w:w="2075"/>
        <w:gridCol w:w="2078"/>
      </w:tblGrid>
      <w:tr>
        <w:trPr>
          <w:trHeight w:val="632"/>
        </w:trPr>
        <w:tc>
          <w:tcPr>
            <w:tcW w:w="2077" w:type="dxa"/>
            <w:vAlign w:val="top"/>
            <w:textDirection w:val="lrTb"/>
            <w:noWrap w:val="false"/>
          </w:tcPr>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072" w:type="dxa"/>
            <w:vAlign w:val="top"/>
            <w:textDirection w:val="lrTb"/>
            <w:noWrap w:val="false"/>
          </w:tcPr>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名称</w:t>
            </w:r>
            <w:r/>
          </w:p>
        </w:tc>
        <w:tc>
          <w:tcPr>
            <w:tcW w:w="2075" w:type="dxa"/>
            <w:vAlign w:val="top"/>
            <w:textDirection w:val="lrTb"/>
            <w:noWrap w:val="false"/>
          </w:tcPr>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W w:w="2078" w:type="dxa"/>
            <w:vAlign w:val="top"/>
            <w:textDirection w:val="lrTb"/>
            <w:noWrap w:val="false"/>
          </w:tcPr>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单位</w:t>
            </w:r>
            <w:r/>
          </w:p>
        </w:tc>
      </w:tr>
      <w:tr>
        <w:trPr>
          <w:trHeight w:val="627"/>
        </w:trPr>
        <w:tc>
          <w:tcPr>
            <w:tcW w:w="2077" w:type="dxa"/>
            <w:vAlign w:val="top"/>
            <w:textDirection w:val="lrTb"/>
            <w:noWrap w:val="false"/>
          </w:tcPr>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072" w:type="dxa"/>
            <w:vAlign w:val="top"/>
            <w:textDirection w:val="lrTb"/>
            <w:noWrap w:val="false"/>
          </w:tcPr>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075" w:type="dxa"/>
            <w:vAlign w:val="top"/>
            <w:textDirection w:val="lrTb"/>
            <w:noWrap w:val="false"/>
          </w:tcPr>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078" w:type="dxa"/>
            <w:vAlign w:val="top"/>
            <w:textDirection w:val="lrTb"/>
            <w:noWrap w:val="false"/>
          </w:tcPr>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trHeight w:val="627"/>
        </w:trPr>
        <w:tc>
          <w:tcPr>
            <w:tcW w:w="2077" w:type="dxa"/>
            <w:vAlign w:val="top"/>
            <w:textDirection w:val="lrTb"/>
            <w:noWrap w:val="false"/>
          </w:tcPr>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072" w:type="dxa"/>
            <w:vAlign w:val="top"/>
            <w:textDirection w:val="lrTb"/>
            <w:noWrap w:val="false"/>
          </w:tcPr>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075" w:type="dxa"/>
            <w:vAlign w:val="top"/>
            <w:textDirection w:val="lrTb"/>
            <w:noWrap w:val="false"/>
          </w:tcPr>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078" w:type="dxa"/>
            <w:vAlign w:val="top"/>
            <w:textDirection w:val="lrTb"/>
            <w:noWrap w:val="false"/>
          </w:tcPr>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trHeight w:val="635"/>
        </w:trPr>
        <w:tc>
          <w:tcPr>
            <w:tcW w:w="2077" w:type="dxa"/>
            <w:vAlign w:val="top"/>
            <w:textDirection w:val="lrTb"/>
            <w:noWrap w:val="false"/>
          </w:tcPr>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072" w:type="dxa"/>
            <w:vAlign w:val="top"/>
            <w:textDirection w:val="lrTb"/>
            <w:noWrap w:val="false"/>
          </w:tcPr>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075" w:type="dxa"/>
            <w:vAlign w:val="top"/>
            <w:textDirection w:val="lrTb"/>
            <w:noWrap w:val="false"/>
          </w:tcPr>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078" w:type="dxa"/>
            <w:vAlign w:val="top"/>
            <w:textDirection w:val="lrTb"/>
            <w:noWrap w:val="false"/>
          </w:tcPr>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ab/>
      </w:r>
      <w:r>
        <w:rPr>
          <w:rFonts w:hint="eastAsia" w:ascii="宋体" w:hAnsi="宋体"/>
          <w:color w:val="auto"/>
          <w:sz w:val="24"/>
          <w:szCs w:val="24"/>
          <w:highlight w:val="none"/>
        </w:rPr>
        <w:tab/>
      </w:r>
      <w:r/>
    </w:p>
    <w:p>
      <w:pPr>
        <w:pStyle w:val="1185"/>
        <w:numPr>
          <w:ilvl w:val="0"/>
          <w:numId w:val="5"/>
        </w:numPr>
        <w:ind w:left="0" w:firstLine="431"/>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合同总价款 </w:t>
      </w:r>
      <w:r>
        <w:rPr>
          <w:rFonts w:hint="eastAsia" w:ascii="宋体" w:hAnsi="宋体"/>
          <w:color w:val="auto"/>
          <w:sz w:val="24"/>
          <w:szCs w:val="24"/>
          <w:highlight w:val="none"/>
          <w:lang w:val="en-US" w:eastAsia="zh-CN"/>
        </w:rPr>
        <w:t xml:space="preserve"> </w:t>
      </w:r>
      <w:r/>
    </w:p>
    <w:p>
      <w:pPr>
        <w:pStyle w:val="1185"/>
        <w:numPr>
          <w:ilvl w:val="0"/>
          <w:numId w:val="0"/>
        </w:num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本合同项下货物总价款为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大写）人民币，分项价款在“投标报价表”中有明确规定。</w:t>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1.本合同总价款包含完成本服务项目发生的所有含税费用、支付给员工的工资和国家强 制缴纳的各种社会保障资金，以及供应商认为需要的其他费用等。</w:t>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2.本合同执行期间合同总价款不变。</w:t>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3.分项报价：</w:t>
      </w:r>
      <w:r/>
    </w:p>
    <w:tbl>
      <w:tblPr>
        <w:tblStyle w:val="1195"/>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86"/>
        <w:gridCol w:w="486"/>
        <w:gridCol w:w="486"/>
        <w:gridCol w:w="486"/>
        <w:gridCol w:w="486"/>
        <w:gridCol w:w="486"/>
        <w:gridCol w:w="966"/>
        <w:gridCol w:w="966"/>
      </w:tblGrid>
      <w:tr>
        <w:trPr>
          <w:trHeight w:val="632"/>
        </w:trPr>
        <w:tc>
          <w:tcPr>
            <w:tcW w:w="0" w:type="auto"/>
            <w:vAlign w:val="center"/>
            <w:textDirection w:val="lrTb"/>
            <w:noWrap w:val="false"/>
          </w:tcPr>
          <w:p>
            <w:pPr>
              <w:pStyle w:val="1185"/>
              <w:ind w:left="0" w:firstLine="0"/>
              <w:jc w:val="both"/>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0" w:type="auto"/>
            <w:vAlign w:val="center"/>
            <w:textDirection w:val="lrTb"/>
            <w:noWrap w:val="false"/>
          </w:tcPr>
          <w:p>
            <w:pPr>
              <w:pStyle w:val="1185"/>
              <w:ind w:left="0" w:firstLine="0"/>
              <w:jc w:val="both"/>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名称</w:t>
            </w:r>
            <w:r/>
          </w:p>
        </w:tc>
        <w:tc>
          <w:tcPr>
            <w:tcW w:w="0" w:type="auto"/>
            <w:vAlign w:val="center"/>
            <w:textDirection w:val="lrTb"/>
            <w:noWrap w:val="false"/>
          </w:tcPr>
          <w:p>
            <w:pPr>
              <w:pStyle w:val="1185"/>
              <w:ind w:left="0" w:firstLine="0"/>
              <w:jc w:val="both"/>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品牌</w:t>
            </w:r>
            <w:r/>
          </w:p>
        </w:tc>
        <w:tc>
          <w:tcPr>
            <w:tcW w:w="0" w:type="auto"/>
            <w:vAlign w:val="center"/>
            <w:textDirection w:val="lrTb"/>
            <w:noWrap w:val="false"/>
          </w:tcPr>
          <w:p>
            <w:pPr>
              <w:pStyle w:val="1185"/>
              <w:ind w:left="0" w:firstLine="0"/>
              <w:jc w:val="both"/>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型号</w:t>
            </w:r>
            <w:r/>
          </w:p>
        </w:tc>
        <w:tc>
          <w:tcPr>
            <w:tcW w:w="0" w:type="auto"/>
            <w:vAlign w:val="center"/>
            <w:textDirection w:val="lrTb"/>
            <w:noWrap w:val="false"/>
          </w:tcPr>
          <w:p>
            <w:pPr>
              <w:pStyle w:val="1185"/>
              <w:ind w:left="0" w:firstLine="0"/>
              <w:jc w:val="both"/>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产地</w:t>
            </w:r>
            <w:r/>
          </w:p>
        </w:tc>
        <w:tc>
          <w:tcPr>
            <w:tcW w:w="0" w:type="auto"/>
            <w:vAlign w:val="center"/>
            <w:textDirection w:val="lrTb"/>
            <w:noWrap w:val="false"/>
          </w:tcPr>
          <w:p>
            <w:pPr>
              <w:pStyle w:val="1185"/>
              <w:ind w:left="0" w:firstLine="0"/>
              <w:jc w:val="both"/>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W w:w="0" w:type="auto"/>
            <w:vAlign w:val="center"/>
            <w:textDirection w:val="lrTb"/>
            <w:noWrap w:val="false"/>
          </w:tcPr>
          <w:p>
            <w:pPr>
              <w:pStyle w:val="1185"/>
              <w:ind w:left="0" w:firstLine="0"/>
              <w:jc w:val="both"/>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单价(元)</w:t>
            </w:r>
            <w:r/>
          </w:p>
        </w:tc>
        <w:tc>
          <w:tcPr>
            <w:tcW w:w="0" w:type="auto"/>
            <w:vAlign w:val="center"/>
            <w:textDirection w:val="lrTb"/>
            <w:noWrap w:val="false"/>
          </w:tcPr>
          <w:p>
            <w:pPr>
              <w:pStyle w:val="1185"/>
              <w:ind w:left="0" w:firstLine="0"/>
              <w:jc w:val="both"/>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总价(元)</w:t>
            </w:r>
            <w:r/>
          </w:p>
        </w:tc>
      </w:tr>
      <w:tr>
        <w:trPr>
          <w:trHeight w:val="627"/>
        </w:trPr>
        <w:tc>
          <w:tcPr>
            <w:tcW w:w="0" w:type="auto"/>
            <w:vAlign w:val="top"/>
            <w:textDirection w:val="lrTb"/>
            <w:noWrap w:val="false"/>
          </w:tcPr>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0" w:type="auto"/>
            <w:vAlign w:val="top"/>
            <w:textDirection w:val="lrTb"/>
            <w:noWrap w:val="false"/>
          </w:tcPr>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0" w:type="auto"/>
            <w:vAlign w:val="top"/>
            <w:textDirection w:val="lrTb"/>
            <w:noWrap w:val="false"/>
          </w:tcPr>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0" w:type="auto"/>
            <w:vAlign w:val="top"/>
            <w:textDirection w:val="lrTb"/>
            <w:noWrap w:val="false"/>
          </w:tcPr>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0" w:type="auto"/>
            <w:vAlign w:val="top"/>
            <w:textDirection w:val="lrTb"/>
            <w:noWrap w:val="false"/>
          </w:tcPr>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0" w:type="auto"/>
            <w:vAlign w:val="top"/>
            <w:textDirection w:val="lrTb"/>
            <w:noWrap w:val="false"/>
          </w:tcPr>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0" w:type="auto"/>
            <w:vAlign w:val="top"/>
            <w:textDirection w:val="lrTb"/>
            <w:noWrap w:val="false"/>
          </w:tcPr>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0" w:type="auto"/>
            <w:vAlign w:val="top"/>
            <w:textDirection w:val="lrTb"/>
            <w:noWrap w:val="false"/>
          </w:tcPr>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trHeight w:val="631"/>
        </w:trPr>
        <w:tc>
          <w:tcPr>
            <w:tcW w:w="0" w:type="auto"/>
            <w:vAlign w:val="top"/>
            <w:textDirection w:val="lrTb"/>
            <w:noWrap w:val="false"/>
          </w:tcPr>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0" w:type="auto"/>
            <w:vAlign w:val="top"/>
            <w:textDirection w:val="lrTb"/>
            <w:noWrap w:val="false"/>
          </w:tcPr>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0" w:type="auto"/>
            <w:vAlign w:val="top"/>
            <w:textDirection w:val="lrTb"/>
            <w:noWrap w:val="false"/>
          </w:tcPr>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0" w:type="auto"/>
            <w:vAlign w:val="top"/>
            <w:textDirection w:val="lrTb"/>
            <w:noWrap w:val="false"/>
          </w:tcPr>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0" w:type="auto"/>
            <w:vAlign w:val="top"/>
            <w:textDirection w:val="lrTb"/>
            <w:noWrap w:val="false"/>
          </w:tcPr>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0" w:type="auto"/>
            <w:vAlign w:val="top"/>
            <w:textDirection w:val="lrTb"/>
            <w:noWrap w:val="false"/>
          </w:tcPr>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0" w:type="auto"/>
            <w:vAlign w:val="top"/>
            <w:textDirection w:val="lrTb"/>
            <w:noWrap w:val="false"/>
          </w:tcPr>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0" w:type="auto"/>
            <w:vAlign w:val="top"/>
            <w:textDirection w:val="lrTb"/>
            <w:noWrap w:val="false"/>
          </w:tcPr>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trHeight w:val="631"/>
        </w:trPr>
        <w:tc>
          <w:tcPr>
            <w:tcW w:w="0" w:type="auto"/>
            <w:vAlign w:val="top"/>
            <w:textDirection w:val="lrTb"/>
            <w:noWrap w:val="false"/>
          </w:tcPr>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0" w:type="auto"/>
            <w:vAlign w:val="top"/>
            <w:textDirection w:val="lrTb"/>
            <w:noWrap w:val="false"/>
          </w:tcPr>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0" w:type="auto"/>
            <w:vAlign w:val="top"/>
            <w:textDirection w:val="lrTb"/>
            <w:noWrap w:val="false"/>
          </w:tcPr>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0" w:type="auto"/>
            <w:vAlign w:val="top"/>
            <w:textDirection w:val="lrTb"/>
            <w:noWrap w:val="false"/>
          </w:tcPr>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0" w:type="auto"/>
            <w:vAlign w:val="top"/>
            <w:textDirection w:val="lrTb"/>
            <w:noWrap w:val="false"/>
          </w:tcPr>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0" w:type="auto"/>
            <w:vAlign w:val="top"/>
            <w:textDirection w:val="lrTb"/>
            <w:noWrap w:val="false"/>
          </w:tcPr>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0" w:type="auto"/>
            <w:vAlign w:val="top"/>
            <w:textDirection w:val="lrTb"/>
            <w:noWrap w:val="false"/>
          </w:tcPr>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0" w:type="auto"/>
            <w:vAlign w:val="top"/>
            <w:textDirection w:val="lrTb"/>
            <w:noWrap w:val="false"/>
          </w:tcPr>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第三条 组成本合同的有关文件</w:t>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下列关于</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（项目编号）的采购文件、响应文件或与本次采购活动方式相适应的文件及有关附件是本合同不可分割的组成部分，与本合同具有同等法律效力，这些文件包括但不限于：</w:t>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1 ）乙方提供的投标文件和投标报价表；</w:t>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2 ）技术规格响应表；</w:t>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3 ）投标承诺/服务承诺；</w:t>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4 ）中标通知书；</w:t>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5 ）甲乙双方商定的其他文件等。</w:t>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第四条 合同履行期限、地点</w:t>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1.合同履行期限：</w:t>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2.履行合同履行地点：</w:t>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第五条 权利保证</w:t>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乙方应保证向甲方提供的服务不受第三方提出侵犯其专利权、版权、商标权或其他权利的起诉。 一旦出现侵权，乙方应承担全部责任。</w:t>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第六条 质量保证</w:t>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1.乙方提供的服务质量应当符合采购文件的约定，以及乙方的承诺。</w:t>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2.除特别说明外，质量保证期为自验收合格后，在此期间，乙方提供免费服务。</w:t>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第七条 验收</w:t>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甲方成立验收小组，按照采购合同的约定对乙方履约情况进行验收。验收时，按照采购合同的约定对每一项技术、服务、安全标准的履约情况进行确认。验收结束后，甲方出具验收书，列明各项标准的验收情况及项目总体评价，由验收双方共同签署。验收结果与采购 合同约定的资金支付及履约保证金返还条件挂钩。</w:t>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2.甲方可以邀请参加本项目的其他供应商或第三方专业机构及专家参与验收。</w:t>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第八条 履约保证金</w:t>
      </w:r>
      <w:r/>
    </w:p>
    <w:p>
      <w:pPr>
        <w:pStyle w:val="1185"/>
        <w:ind w:firstLine="431"/>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本项目不收取履约保证金</w:t>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第九条 合同款支付</w:t>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1.本合同项下所有款项均以人民币支付。</w:t>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2.本合同项下的采购资金由甲方自行支付，乙方向甲方开具发票。</w:t>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3.付款方式：</w:t>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第十条 违约责任</w:t>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1.乙方按合同约定的时间和质量标准提供服务，而甲方无正当理由逾期支付服务费用的，每逾期1天甲方向乙方偿付欠款总额的5‰滞纳金，但累计滞纳金总额不超过欠款总额5%。</w:t>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2.乙方违约，甲方可扣除相应的履约保证金。</w:t>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3.乙方未按合同约定的时间和质量标准提供服务，但未给甲方造成损失的，甲方</w:t>
      </w:r>
      <w:r>
        <w:rPr>
          <w:rFonts w:hint="eastAsia" w:ascii="宋体" w:hAnsi="宋体"/>
          <w:color w:val="auto"/>
          <w:sz w:val="24"/>
          <w:szCs w:val="24"/>
          <w:highlight w:val="none"/>
          <w:lang w:eastAsia="zh-CN"/>
        </w:rPr>
        <w:t xml:space="preserve">可以</w:t>
      </w:r>
      <w:r>
        <w:rPr>
          <w:rFonts w:hint="eastAsia" w:ascii="宋体" w:hAnsi="宋体"/>
          <w:color w:val="auto"/>
          <w:sz w:val="24"/>
          <w:szCs w:val="24"/>
          <w:highlight w:val="none"/>
        </w:rPr>
        <w:t xml:space="preserve">要求乙方整改，乙方在双方协定期限内达到甲方或第三方评估机构认定的质量标准后，甲方应支付相应的服务费用；否则，甲方有权解除本合同。</w:t>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4.乙方未按合同约定的时间和质量标准提供服务，给甲方造成损失的，甲方</w:t>
      </w:r>
      <w:r>
        <w:rPr>
          <w:rFonts w:hint="eastAsia" w:ascii="宋体" w:hAnsi="宋体"/>
          <w:color w:val="auto"/>
          <w:sz w:val="24"/>
          <w:szCs w:val="24"/>
          <w:highlight w:val="none"/>
          <w:lang w:eastAsia="zh-CN"/>
        </w:rPr>
        <w:t xml:space="preserve">可以</w:t>
      </w:r>
      <w:r>
        <w:rPr>
          <w:rFonts w:hint="eastAsia" w:ascii="宋体" w:hAnsi="宋体"/>
          <w:color w:val="auto"/>
          <w:sz w:val="24"/>
          <w:szCs w:val="24"/>
          <w:highlight w:val="none"/>
        </w:rPr>
        <w:t xml:space="preserve">要求乙方按实赔偿；因乙方服务质量问题导致甲方无法实现合同目的的，甲方有权解除合同。</w:t>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 其他违约责任约定</w:t>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第十一条 合同的变更和终止</w:t>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 除《</w:t>
      </w:r>
      <w:r>
        <w:rPr>
          <w:rFonts w:hint="eastAsia" w:ascii="宋体" w:hAnsi="宋体"/>
          <w:color w:val="auto"/>
          <w:sz w:val="24"/>
          <w:szCs w:val="24"/>
          <w:highlight w:val="none"/>
          <w:lang w:val="en-US" w:eastAsia="zh-CN"/>
        </w:rPr>
        <w:t xml:space="preserve">中华人民共和国</w:t>
      </w:r>
      <w:r>
        <w:rPr>
          <w:rFonts w:hint="eastAsia" w:ascii="宋体" w:hAnsi="宋体"/>
          <w:color w:val="auto"/>
          <w:sz w:val="24"/>
          <w:szCs w:val="24"/>
          <w:highlight w:val="none"/>
        </w:rPr>
        <w:t xml:space="preserve">政府采购法》</w:t>
      </w:r>
      <w:r>
        <w:rPr>
          <w:rFonts w:hint="eastAsia" w:ascii="宋体" w:hAnsi="宋体"/>
          <w:color w:val="auto"/>
          <w:sz w:val="24"/>
          <w:szCs w:val="24"/>
          <w:highlight w:val="none"/>
          <w:lang w:eastAsia="zh-CN"/>
        </w:rPr>
        <w:t xml:space="preserve">第五十条</w:t>
      </w:r>
      <w:r>
        <w:rPr>
          <w:rFonts w:hint="eastAsia" w:ascii="宋体" w:hAnsi="宋体"/>
          <w:color w:val="auto"/>
          <w:sz w:val="24"/>
          <w:szCs w:val="24"/>
          <w:highlight w:val="none"/>
        </w:rPr>
        <w:t xml:space="preserve">第二款规定的情形外，本合同一经签订，甲乙双方不得擅自变更、中止或终止合同。</w:t>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 除发生法律规定的不能预见、不能避免并不能克服的客观情况外，甲乙双方不得放弃或拒绝履行合同。乙方放弃或拒绝履行合同，保证金不予退还。</w:t>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第十二条 合同的转让</w:t>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乙方不得擅自部分或全部转让其应履行的合同义务。</w:t>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第十三条 争议的解决</w:t>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1.因履行本合同引起的或与本合同有关的争议，甲、乙双方应首先通过友好协商解决， 如果协商不能解决争议，则采取以下第（ __ ）种方式解决争议：</w:t>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1 ）向甲方所在地有管辖权的人民法院提起诉讼；</w:t>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2 ）向泰州仲裁委员会按其仲裁规则申请仲裁。</w:t>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如没有约定，默认采取第2种方式解决争议。</w:t>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 在仲裁期间，本合同应继续履行</w:t>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第十四条 诚实信用</w:t>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乙方应诚实信用，严格按照招标（采购）文件要求和投标（响应）承诺履行合同，不向甲方进行商业贿赂或者提供不正当利益。</w:t>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第十五条 合同生效及其他</w:t>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1.本合同自签订之日起生效。</w:t>
      </w:r>
      <w:r/>
    </w:p>
    <w:p>
      <w:pPr>
        <w:pStyle w:val="1185"/>
        <w:ind w:firstLine="431"/>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2.本合同一式三份</w:t>
      </w:r>
      <w:r>
        <w:rPr>
          <w:rFonts w:hint="eastAsia" w:ascii="宋体" w:hAnsi="宋体"/>
          <w:color w:val="auto"/>
          <w:sz w:val="24"/>
          <w:szCs w:val="24"/>
          <w:highlight w:val="none"/>
          <w:lang w:eastAsia="zh-CN"/>
        </w:rPr>
        <w:t xml:space="preserve">。</w:t>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3.本合同应按照中华人民共和国的现行法律进行解释。</w:t>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甲方（采购人）：                    乙方（供应商）：</w:t>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（盖章）                                    （盖章）</w:t>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1185"/>
        <w:ind w:firstLine="43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代表人：                                   代表人：</w:t>
      </w:r>
      <w:r/>
    </w:p>
    <w:p>
      <w:pPr>
        <w:pStyle w:val="1185"/>
        <w:ind w:firstLine="431"/>
        <w:spacing w:line="36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日期                                       日期：</w:t>
      </w:r>
      <w:bookmarkStart w:id="183" w:name="_GoBack"/>
      <w:r/>
      <w:bookmarkEnd w:id="183"/>
      <w:r/>
      <w:r/>
    </w:p>
    <w:p>
      <w:pPr>
        <w:pStyle w:val="1185"/>
        <w:ind w:firstLine="431"/>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1185"/>
        <w:ind w:firstLine="431"/>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Style w:val="1158"/>
        <w:numPr>
          <w:ilvl w:val="0"/>
          <w:numId w:val="0"/>
        </w:numPr>
        <w:ind w:right="181"/>
        <w:rPr>
          <w:rFonts w:hint="eastAsia" w:eastAsia="宋体"/>
          <w:color w:val="auto"/>
          <w:highlight w:val="none"/>
          <w:lang w:eastAsia="zh-CN"/>
        </w:rPr>
      </w:pPr>
      <w:r>
        <w:rPr>
          <w:rFonts w:hint="eastAsia" w:eastAsia="宋体"/>
          <w:color w:val="auto"/>
          <w:highlight w:val="none"/>
          <w:lang w:eastAsia="zh-CN"/>
        </w:rPr>
      </w:r>
      <w:r/>
    </w:p>
    <w:p>
      <w:pPr>
        <w:rPr>
          <w:rFonts w:hint="eastAsia" w:ascii="宋体" w:hAnsi="宋体"/>
          <w:color w:val="auto"/>
          <w:sz w:val="24"/>
          <w:highlight w:val="none"/>
        </w:rPr>
      </w:pPr>
      <w:r>
        <w:rPr>
          <w:rFonts w:hint="eastAsia" w:ascii="宋体" w:hAnsi="宋体"/>
          <w:color w:val="auto"/>
          <w:sz w:val="24"/>
          <w:highlight w:val="none"/>
        </w:rPr>
      </w:r>
      <w:r/>
    </w:p>
    <w:p>
      <w:pPr>
        <w:jc w:val="center"/>
        <w:spacing w:before="100" w:beforeAutospacing="1" w:after="100" w:afterAutospacing="1" w:line="520" w:lineRule="exact"/>
        <w:shd w:val="clear" w:color="auto" w:fill="ffffff"/>
        <w:widowControl/>
        <w:rPr>
          <w:rFonts w:hint="eastAsia" w:ascii="宋体" w:hAnsi="宋体"/>
          <w:b/>
          <w:bCs/>
          <w:color w:val="auto"/>
          <w:sz w:val="28"/>
          <w:szCs w:val="28"/>
          <w:highlight w:val="none"/>
        </w:rPr>
      </w:pPr>
      <w:r>
        <w:rPr>
          <w:rFonts w:hint="eastAsia" w:ascii="宋体" w:hAnsi="宋体"/>
          <w:b/>
          <w:bCs/>
          <w:color w:val="auto"/>
          <w:sz w:val="28"/>
          <w:szCs w:val="28"/>
          <w:highlight w:val="none"/>
        </w:rPr>
      </w:r>
      <w:r/>
    </w:p>
    <w:p>
      <w:pPr>
        <w:pStyle w:val="1147"/>
        <w:rPr>
          <w:color w:val="auto"/>
          <w:sz w:val="24"/>
          <w:szCs w:val="24"/>
          <w:highlight w:val="none"/>
        </w:rPr>
      </w:pPr>
      <w:r>
        <w:rPr>
          <w:rFonts w:hint="eastAsia" w:ascii="宋体" w:hAnsi="宋体" w:cs="宋体"/>
          <w:bCs/>
          <w:color w:val="auto"/>
          <w:sz w:val="24"/>
          <w:szCs w:val="24"/>
          <w:highlight w:val="none"/>
        </w:rPr>
        <w:br w:type="page" w:clear="all"/>
      </w:r>
      <w:bookmarkEnd w:id="98"/>
      <w:r/>
      <w:bookmarkEnd w:id="99"/>
      <w:r/>
      <w:bookmarkEnd w:id="100"/>
      <w:r/>
      <w:bookmarkEnd w:id="101"/>
      <w:r/>
      <w:bookmarkEnd w:id="102"/>
      <w:r/>
      <w:bookmarkEnd w:id="103"/>
      <w:r/>
      <w:bookmarkEnd w:id="104"/>
      <w:r/>
      <w:bookmarkEnd w:id="105"/>
      <w:r/>
      <w:bookmarkEnd w:id="106"/>
      <w:r/>
      <w:r/>
    </w:p>
    <w:p>
      <w:pPr>
        <w:pStyle w:val="1147"/>
        <w:numPr>
          <w:ilvl w:val="0"/>
          <w:numId w:val="6"/>
        </w:numPr>
        <w:rPr>
          <w:color w:val="auto"/>
          <w:sz w:val="32"/>
          <w:szCs w:val="32"/>
          <w:highlight w:val="none"/>
        </w:rPr>
      </w:pPr>
      <w:r/>
      <w:bookmarkStart w:id="107" w:name="_Toc32522"/>
      <w:r/>
      <w:bookmarkStart w:id="108" w:name="_Toc262789432"/>
      <w:r/>
      <w:bookmarkStart w:id="109" w:name="_Toc304379119"/>
      <w:r/>
      <w:bookmarkStart w:id="110" w:name="_Toc23828480"/>
      <w:r/>
      <w:bookmarkStart w:id="111" w:name="_Toc61149622"/>
      <w:r/>
      <w:bookmarkStart w:id="112" w:name="_Toc26554097"/>
      <w:r>
        <w:rPr>
          <w:rFonts w:hint="eastAsia"/>
          <w:color w:val="auto"/>
          <w:sz w:val="32"/>
          <w:szCs w:val="32"/>
          <w:highlight w:val="none"/>
        </w:rPr>
        <w:t xml:space="preserve"> 采购需求</w:t>
      </w:r>
      <w:bookmarkEnd w:id="107"/>
      <w:r/>
      <w:r/>
    </w:p>
    <w:p>
      <w:pPr>
        <w:spacing w:before="120" w:after="120" w:line="400" w:lineRule="atLeast"/>
        <w:rPr>
          <w:rFonts w:hint="eastAsia" w:ascii="宋体" w:hAnsi="宋体" w:cs="宋体"/>
          <w:b/>
          <w:color w:val="auto"/>
          <w:sz w:val="24"/>
          <w:highlight w:val="none"/>
          <w:lang w:val="en-US" w:eastAsia="zh-CN"/>
        </w:rPr>
        <w:pBdr>
          <w:top w:val="none" w:color="000000" w:sz="0" w:space="0"/>
          <w:left w:val="none" w:color="000000" w:sz="0" w:space="0"/>
          <w:bottom w:val="none" w:color="000000" w:sz="0" w:space="0"/>
          <w:right w:val="none" w:color="000000" w:sz="0" w:space="0"/>
        </w:pBdr>
      </w:pPr>
      <w:r/>
      <w:bookmarkStart w:id="113" w:name="_Toc205306545"/>
      <w:r/>
      <w:bookmarkStart w:id="114" w:name="_Toc459825396"/>
      <w:r/>
      <w:bookmarkStart w:id="115" w:name="_Toc462122987"/>
      <w:r>
        <w:rPr>
          <w:rFonts w:hint="eastAsia" w:ascii="宋体" w:hAnsi="宋体" w:cs="宋体"/>
          <w:b/>
          <w:color w:val="auto"/>
          <w:sz w:val="24"/>
          <w:highlight w:val="none"/>
          <w:lang w:val="en-US" w:eastAsia="zh-CN"/>
        </w:rPr>
        <w:t xml:space="preserve">一、项目概述</w:t>
      </w:r>
      <w:bookmarkEnd w:id="113"/>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zh-CN" w:eastAsia="zh-CN"/>
        </w:rPr>
        <w:t xml:space="preserve">泰州交警支队机房作为支队各类业务的核心支撑平台，承担着至关重要的作用。它为交通违法处理、事故处理、车辆管理、指挥调度等多个关键业务系统提供稳定可靠的运行环境，同时负责海量交通数据的存储与管理，确保数据的完整性和安全性。此外，机房还承担着信息的高效管理和网络传输任务，保障交警支队内部以及与其他相关部门之间的信息互联互通，维持交通管理工作的高效运转。</w:t>
      </w:r>
      <w:bookmarkEnd w:id="114"/>
      <w:r/>
      <w:bookmarkEnd w:id="115"/>
      <w:r/>
      <w:r/>
    </w:p>
    <w:p>
      <w:pPr>
        <w:ind w:firstLine="480"/>
        <w:rPr>
          <w:rFonts w:hint="eastAsia" w:ascii="楷体_GB2312" w:hAnsi="楷体_GB2312" w:eastAsia="宋体" w:cs="Times New Roman"/>
          <w:b w:val="0"/>
          <w:bCs/>
          <w:color w:val="auto"/>
          <w:sz w:val="24"/>
          <w:szCs w:val="24"/>
          <w:highlight w:val="none"/>
          <w:lang w:val="en-US" w:eastAsia="zh-CN" w:bidi="ar-SA"/>
        </w:rPr>
      </w:pPr>
      <w:r>
        <w:rPr>
          <w:rFonts w:hint="eastAsia" w:ascii="楷体_GB2312" w:hAnsi="楷体_GB2312" w:eastAsia="宋体" w:cs="Times New Roman"/>
          <w:b w:val="0"/>
          <w:bCs/>
          <w:color w:val="auto"/>
          <w:sz w:val="24"/>
          <w:szCs w:val="24"/>
          <w:highlight w:val="none"/>
          <w:lang w:val="en-US" w:eastAsia="zh-CN" w:bidi="ar-SA"/>
        </w:rPr>
      </w:r>
      <w:r/>
    </w:p>
    <w:p>
      <w:pPr>
        <w:spacing w:line="360" w:lineRule="auto"/>
        <w:rPr>
          <w:rFonts w:hint="eastAsia" w:ascii="宋体" w:hAnsi="宋体" w:eastAsia="宋体" w:cs="仿宋"/>
          <w:b/>
          <w:bCs/>
          <w:color w:val="auto"/>
          <w:sz w:val="24"/>
          <w:highlight w:val="none"/>
          <w:lang w:val="en-US" w:eastAsia="zh-CN"/>
        </w:rPr>
      </w:pPr>
      <w:r>
        <w:rPr>
          <w:rFonts w:hint="eastAsia" w:ascii="宋体" w:hAnsi="宋体" w:cs="仿宋"/>
          <w:b/>
          <w:bCs/>
          <w:color w:val="auto"/>
          <w:sz w:val="24"/>
          <w:highlight w:val="none"/>
          <w:lang w:val="en-US" w:eastAsia="zh-CN"/>
        </w:rPr>
        <w:t xml:space="preserve">二、</w:t>
      </w:r>
      <w:r>
        <w:rPr>
          <w:rFonts w:hint="eastAsia" w:ascii="宋体" w:hAnsi="宋体" w:cs="仿宋"/>
          <w:b/>
          <w:bCs/>
          <w:color w:val="auto"/>
          <w:sz w:val="24"/>
          <w:highlight w:val="none"/>
        </w:rPr>
        <w:t xml:space="preserve">服务</w:t>
      </w:r>
      <w:r>
        <w:rPr>
          <w:rFonts w:hint="eastAsia" w:ascii="宋体" w:hAnsi="宋体" w:cs="仿宋"/>
          <w:b/>
          <w:bCs/>
          <w:color w:val="auto"/>
          <w:sz w:val="24"/>
          <w:highlight w:val="none"/>
          <w:lang w:val="en-US" w:eastAsia="zh-CN"/>
        </w:rPr>
        <w:t xml:space="preserve">内容</w:t>
      </w:r>
      <w:r/>
    </w:p>
    <w:p>
      <w:pPr>
        <w:ind w:firstLine="24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（一）本项目主要服务内容如下：</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1.交警支队后端机房运维：负责交警支队机房内蓄电池、UPS、空调、消防、服务器及存储设备的日常维护工作。</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2.交警支队前端感知系统：交通集成指挥平台重要点位关联的卡口及视频设备，数量84个点位；前端执法取证设备1946台；预警卡口设备1125台。</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3.软件系统维保服务：包含非现场处理监管平台、人脸识别服务、同步库软件、感知网视频联网平台以及公安交通集成指挥平台软件共5套软件维保服务。</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4.车管所维保服务：负责车管所数据中心机房相关软硬件设备以及车管所内部监控设备的维保服务。</w:t>
      </w:r>
      <w:r/>
    </w:p>
    <w:p>
      <w:pPr>
        <w:ind w:firstLine="480"/>
        <w:keepLines w:val="0"/>
        <w:keepNext w:val="0"/>
        <w:pageBreakBefore w:val="0"/>
        <w:spacing w:before="120" w:after="120" w:line="400" w:lineRule="atLeast"/>
        <w:widowControl w:val="off"/>
        <w:rPr>
          <w:rFonts w:hint="eastAsia" w:ascii="宋体" w:hAnsi="宋体" w:cs="宋体"/>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highlight w:val="none"/>
          <w:lang w:val="en-US" w:eastAsia="zh-CN"/>
        </w:rPr>
        <w:t xml:space="preserve">注：本项目不组织集中查勘，各投标单位自行组织查勘，项目中包含的部分设备已经故障，各投标单位报价时需充分考虑维修费用，后续不再增补。</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（二）目标需求</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1.稳定性：通过定期的维护和保修服务，确保设备在长时间运行中保持稳定，减少故障发生的概率。</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2.安全性：保障设备和系统免受外部攻击和内部故障的影响，确保数据的安全和保密。</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3.高效性：优化设备性能，提高数据处理和传输效率，确保系统能够快速响应业务需求。</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4.可用性：通过预防性维护和快速故障排除，最大限度地减少系统停机时间，确保系统能够持续运行。</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（三）维保服务需求</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1.技术支持与故障排除</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（1）及时响应：建立24小时技术支持热线，确保在设备出现故障时能够第一时间响应。</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（2）快速诊断：技术支持团队将迅速到达现场，对故障进行诊断和分析，确定问题根源。</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（3）高效修复：在最短时间内修复故障，恢复系统运行。</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（4）事后分析：对每次故障进行详细记录和分析，总结经验教训，制定防范措施，避免类似问题再次发生。</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2.预防性维护</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（1）定期巡检：每月对设备进行全面检查，包括硬件状态、软件版本、系统配置等，及时发现潜在问题。</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（2）性能优化：根据设备运行情况，定期进行性能优化，包括清理缓存、更新软件、调整配置等，确保设备运行在最佳状态。</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（3）安全检查：定期对系统进行安全扫描，检查是否存在漏洞和安全隐患，及时进行修复和加固。</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（4）备份与恢复：制定完善的数据备份策略，定期进行数据备份，并进行恢复测试，确保数据的安全性和可用性。</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3.系统升级与优化</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（1）硬件升级：根据业务发展需求和技术进步，适时对设备进行硬件升级，提升系统性能。</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（2）软件更新：及时更新系统软件，修复漏洞，优化功能，确保系统与最新技术同步。</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（3）架构优化：定期对系统架构进行评估和优化，提升系统的扩展性和灵活性，适应不断变化的业务需求。</w:t>
      </w:r>
      <w:r/>
    </w:p>
    <w:p>
      <w:pPr>
        <w:keepLines w:val="0"/>
        <w:keepNext w:val="0"/>
        <w:pageBreakBefore w:val="0"/>
        <w:spacing w:before="120" w:after="120" w:line="400" w:lineRule="atLeast"/>
        <w:widowControl w:val="off"/>
        <w:rPr>
          <w:rFonts w:hint="eastAsia" w:ascii="宋体" w:hAnsi="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bookmarkStart w:id="116" w:name="_Toc35266546"/>
      <w:r/>
      <w:bookmarkStart w:id="117" w:name="_Toc205306556"/>
      <w:r/>
      <w:bookmarkStart w:id="118" w:name="_Toc28791"/>
      <w:r>
        <w:rPr>
          <w:rFonts w:hint="eastAsia" w:ascii="宋体" w:hAnsi="宋体" w:cs="宋体"/>
          <w:b/>
          <w:bCs/>
          <w:color w:val="auto"/>
          <w:sz w:val="24"/>
          <w:highlight w:val="none"/>
          <w:lang w:val="en-US" w:eastAsia="zh-CN"/>
        </w:rPr>
        <w:t xml:space="preserve">三、运维服务总体要求</w:t>
      </w:r>
      <w:bookmarkEnd w:id="116"/>
      <w:r/>
      <w:bookmarkEnd w:id="117"/>
      <w:r/>
      <w:bookmarkEnd w:id="118"/>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运维服务单位对项目设施进行管理、维护和维修的工作内容及质量标准应符合国家、江苏省相关法律法规、标准和规范，本项目相关批准文件的要求，相关国家、行业、地方维护管理规范、标准、考核办法等。</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根据质量考核指标，运维服务单位应建立运行维护管理团队、质量管理体系、工作绩效评估体系，合理调配各岗位人员，管理本地化系统维保能力的工作团队，派遣工程师驻扎现场服务，执行运行维护质量管理体系，满足运行维护的绩效要求及上级部门的考核要求。</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运维单位应制定实施维护计划，负责各类系统的日常运行监测、维护、保养，完成系统配置、调优。严密监视各类系统/设备的运行情况，收集信息，及时发现、反馈、处理并归档。</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在运维实施阶段，运维服务单位应编制维护手册，包括日常运行维护程序、定期巡检计划、实施计划、备品备件配置、应急处置预案。</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运维单位必须严格遵守《公安视频图像信息联网应用运维管理规范》要求，必须签署保密协议，对所知悉的事项及信息须严格保密，所有资料、技术文档妥善保管，不得遗失、转借、复印，不得以任何形式向第三方透露。</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运维单位应确保实现视频监控资源基础数据的汇聚和同步更新，满足公安视频图像信息管理应用工作对监控资源基础数据的需求。</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维护管理服务期内，如因运维服务单位原因引发的事故或其他人身、财产损害的，由运维服务单位承担相应责任。</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运维服务单位应建立健全流程制度管理体系，从制度上保障本项目维护质量。</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在项目运行维护期内发生运行维护事故的，运维服务单位应于事故发生后按严重程度及时向采购人通报事故情况，事故处理结束后提交事故报告。在服务期内，由于运维服务单位的维护工作不到位引发安全事故的，由运维服务单位承担相应责任。</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运维服务单位应全力配合采购人的考核工作。每季度结束后，采购人将该季度所有的运行维护服务质量日常考核表进行汇总，计算运维服务单位各评分项的季度得分。</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泰州交警将为本项目的运行维护提供必要的安全保障和支持，包括保障运维服务单位获得设备运行所需的网络，电力配套支持和便利。</w:t>
      </w:r>
      <w:r/>
    </w:p>
    <w:p>
      <w:pPr>
        <w:keepLines w:val="0"/>
        <w:keepNext w:val="0"/>
        <w:pageBreakBefore w:val="0"/>
        <w:spacing w:before="120" w:after="120" w:line="400" w:lineRule="atLeast"/>
        <w:widowControl w:val="off"/>
        <w:rPr>
          <w:rFonts w:hint="eastAsia" w:ascii="宋体" w:hAnsi="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bookmarkStart w:id="119" w:name="_Toc1714"/>
      <w:r/>
      <w:bookmarkStart w:id="120" w:name="_Toc205306557"/>
      <w:r>
        <w:rPr>
          <w:rFonts w:hint="eastAsia" w:ascii="宋体" w:hAnsi="宋体" w:cs="宋体"/>
          <w:b/>
          <w:bCs/>
          <w:color w:val="auto"/>
          <w:sz w:val="24"/>
          <w:highlight w:val="none"/>
          <w:lang w:val="en-US" w:eastAsia="zh-CN"/>
        </w:rPr>
        <w:t xml:space="preserve">（一）</w:t>
      </w:r>
      <w:bookmarkEnd w:id="119"/>
      <w:r>
        <w:rPr>
          <w:rFonts w:hint="eastAsia" w:ascii="宋体" w:hAnsi="宋体" w:cs="宋体"/>
          <w:b/>
          <w:bCs/>
          <w:color w:val="auto"/>
          <w:sz w:val="24"/>
          <w:highlight w:val="none"/>
          <w:lang w:val="en-US" w:eastAsia="zh-CN"/>
        </w:rPr>
        <w:t xml:space="preserve">交警支队维保内容</w:t>
      </w:r>
      <w:bookmarkEnd w:id="120"/>
      <w:r/>
      <w:r/>
    </w:p>
    <w:p>
      <w:pPr>
        <w:ind w:firstLine="480"/>
        <w:keepLines w:val="0"/>
        <w:keepNext w:val="0"/>
        <w:pageBreakBefore w:val="0"/>
        <w:spacing w:before="120" w:after="120" w:line="400" w:lineRule="atLeast"/>
        <w:widowControl w:val="off"/>
        <w:rPr>
          <w:rFonts w:hint="eastAsia" w:ascii="宋体" w:hAnsi="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bookmarkStart w:id="121" w:name="_Toc17035"/>
      <w:r/>
      <w:bookmarkStart w:id="122" w:name="_Toc205306558"/>
      <w:r>
        <w:rPr>
          <w:rFonts w:hint="eastAsia" w:ascii="宋体" w:hAnsi="宋体" w:cs="宋体"/>
          <w:color w:val="auto"/>
          <w:sz w:val="24"/>
          <w:highlight w:val="none"/>
          <w:lang w:val="en-US" w:eastAsia="zh-CN"/>
        </w:rPr>
        <w:t xml:space="preserve">1.</w:t>
      </w:r>
      <w:r>
        <w:rPr>
          <w:rFonts w:hint="eastAsia" w:ascii="宋体" w:hAnsi="宋体" w:cs="宋体"/>
          <w:b/>
          <w:bCs/>
          <w:color w:val="auto"/>
          <w:sz w:val="24"/>
          <w:highlight w:val="none"/>
          <w:lang w:val="en-US" w:eastAsia="zh-CN"/>
        </w:rPr>
        <w:t xml:space="preserve">中心机房维护内容(包括但不仅限于以下内容)</w:t>
      </w:r>
      <w:bookmarkEnd w:id="121"/>
      <w:r/>
      <w:bookmarkEnd w:id="122"/>
      <w:r/>
      <w:bookmarkStart w:id="123" w:name="_Toc1503"/>
      <w:r/>
      <w:r/>
    </w:p>
    <w:p>
      <w:pPr>
        <w:ind w:firstLine="36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（1）服务器及存储设备维护</w:t>
      </w:r>
      <w:bookmarkEnd w:id="123"/>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为了更好地管理机房内的服务器设备，确保设备运行的稳定性和可追溯性，维保单位需对机房现有所有服务器设备进行全面摸排。需涵盖设备的品牌、型号、配置、使用年限、IP地址、所在位置等详细信息。建立一份详细的台账明细，记录每一台服务器的详细情况，及时掌握设备状态，合理安排维护计划。同时，定期对台账进行更新，确保信息的准确性和时效性。</w:t>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检查设备是否正常运行，是否有指示硬件故障报警；检查操作系统，通过查看系统日志等方式分析判断系统的运行状况；检查服务器卷组信息、文件系统、日志状态；检查内存、CPU、磁盘、网络等的使用情况，记录异常信息。</w:t>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在不影响设备及系统正常运行的前提下，维护服务器操作系统，清理磁盘的系统垃圾文件；分析判断服务器可能存在的故障隐患及原因，第一时间提出修复、改善建议；微码升级；征求采购人意见后更新操作系统补丁、扫描系统漏洞。</w:t>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修补系统软件最新补丁(包括操作系统以及服务器相关插件、驱动程序等)，提供系统软件咨询服务，包括系统升级扩充方案，系统软件运行过程中的各种技术问题等。</w:t>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提供磁盘空间整理，日志文件的分析，以及系统健康检查，性能分析及调整优化，确保相关业务系统服务器功能正常、数据安全、系统稳定。在业务系统性能低下的时候，协助应用开发商制定业务系统级的优化方案，并对信息系统性能进行系统级调优，提高业务系统运行性能。</w:t>
      </w:r>
      <w:r/>
    </w:p>
    <w:p>
      <w:pPr>
        <w:ind w:firstLine="36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bookmarkStart w:id="124" w:name="_Toc12113"/>
      <w:r/>
      <w:bookmarkStart w:id="125" w:name="_Toc4807"/>
      <w:r>
        <w:rPr>
          <w:rFonts w:hint="eastAsia" w:ascii="宋体" w:hAnsi="宋体" w:cs="宋体"/>
          <w:color w:val="auto"/>
          <w:sz w:val="24"/>
          <w:highlight w:val="none"/>
          <w:lang w:val="en-US" w:eastAsia="zh-CN"/>
        </w:rPr>
        <w:t xml:space="preserve">（2）网络设备</w:t>
      </w:r>
      <w:bookmarkEnd w:id="124"/>
      <w:r>
        <w:rPr>
          <w:rFonts w:hint="eastAsia" w:ascii="宋体" w:hAnsi="宋体" w:cs="宋体"/>
          <w:color w:val="auto"/>
          <w:sz w:val="24"/>
          <w:highlight w:val="none"/>
          <w:lang w:val="en-US" w:eastAsia="zh-CN"/>
        </w:rPr>
        <w:t xml:space="preserve">维护</w:t>
      </w:r>
      <w:bookmarkEnd w:id="125"/>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对网络系统进行巡检和监测，巡检内容包括：网络设备日志分析、网络设备运行状态分析、链路状态分析、系统资源占用情况分析；及时排查故障，对需要调整的部分配置经授权同意后进行修改。</w:t>
      </w:r>
      <w:r/>
    </w:p>
    <w:p>
      <w:pPr>
        <w:ind w:firstLine="72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1）规划、设计、搭建、维护网络环境； </w:t>
      </w:r>
      <w:r/>
    </w:p>
    <w:p>
      <w:pPr>
        <w:ind w:firstLine="72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2）持续改进日常操作以及优化网络管理，制定网络互连规范； </w:t>
      </w:r>
      <w:r/>
    </w:p>
    <w:p>
      <w:pPr>
        <w:ind w:firstLine="72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3）负责所有网络设备的日常检查、检修、替换和保修，建立网络系统例行检查和维护的规范和文档，维护并保证网络正常的运行环境，及时发现异常情况并处理； </w:t>
      </w:r>
      <w:r/>
    </w:p>
    <w:p>
      <w:pPr>
        <w:ind w:firstLine="72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4）根据平台的相关要求按照规范进行网络设备的互联，制定或调整ACL规则，应用到相应端口，并配合安全人员进行测试； </w:t>
      </w:r>
      <w:r/>
    </w:p>
    <w:p>
      <w:pPr>
        <w:ind w:firstLine="72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5）监控并分析网络的流量信息，收集网络设备的关键syslog信息并进行分析 </w:t>
      </w:r>
      <w:r/>
    </w:p>
    <w:p>
      <w:pPr>
        <w:ind w:firstLine="72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6）建立网络拓扑、IP规划分布、布线系统等文档资料，及时按要求撰写、更新。</w:t>
      </w:r>
      <w:r/>
    </w:p>
    <w:p>
      <w:pPr>
        <w:ind w:firstLine="72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7）配合车管所业务需求，提供车管所专网配置更改和网络优化服务。</w:t>
      </w:r>
      <w:bookmarkStart w:id="126" w:name="_Toc16206"/>
      <w:r/>
      <w:bookmarkStart w:id="127" w:name="_Toc20405"/>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（3）信息安全设备</w:t>
      </w:r>
      <w:bookmarkEnd w:id="126"/>
      <w:r>
        <w:rPr>
          <w:rFonts w:hint="eastAsia" w:ascii="宋体" w:hAnsi="宋体" w:cs="宋体"/>
          <w:color w:val="auto"/>
          <w:sz w:val="24"/>
          <w:highlight w:val="none"/>
          <w:lang w:val="en-US" w:eastAsia="zh-CN"/>
        </w:rPr>
        <w:t xml:space="preserve">维护</w:t>
      </w:r>
      <w:bookmarkEnd w:id="127"/>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检查各项安全设备硬件使用状态、检查硬件警示状态、安全策略备份、设备业务备份、业务运行情况、设备使用率等情况。</w:t>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检查设备是否正常运行，有无异常情况（如风扇异常声音，故障灯亮起等），并做好相关巡检记录。</w:t>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按需求配置、调整通用安全设备的策略。并根据安全策略，定期汇总策略日志，整理成相关报告提交给车管所，针对报告提出相关策略优化建议。</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bookmarkStart w:id="128" w:name="_Toc18553"/>
      <w:r>
        <w:rPr>
          <w:rFonts w:hint="eastAsia" w:ascii="宋体" w:hAnsi="宋体" w:cs="宋体"/>
          <w:color w:val="auto"/>
          <w:sz w:val="24"/>
          <w:highlight w:val="none"/>
          <w:lang w:val="en-US" w:eastAsia="zh-CN"/>
        </w:rPr>
        <w:t xml:space="preserve">（4）UPS不间断电源设备维护</w:t>
      </w:r>
      <w:bookmarkEnd w:id="128"/>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对UPS设备每季度进行现场检查，检查内容包括设备硬件检查、软件检查和环境检查等，及时发现设备运行中出现的隐患，降低设备发生故障的概率，保证设备的稳定运行，排除发现的问题。具体检查内容如下：</w:t>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1）检查布线是否正确，记录相关情况；</w:t>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2）检查所有电气连接，确保所有连接处紧固，无松动；</w:t>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3）检测电池运行的转换是否正常；</w:t>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4）清理内部灰尘杂物；</w:t>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5）检测旁路工作是否正常，包括静态旁路和手动旁路；</w:t>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6）检查内部所有控制线路及带电线路是否绝缘良好；</w:t>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7）断电情况下对UPS系统内部所有端子进行物理检查；</w:t>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8）进行放电测试；</w:t>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9）必要时实施功能检测，确认功能正常；</w:t>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10）通过专业单机/联机软件，对UPS的工作记录和报警记录进行检查，根据记录情况进行预防性维护；</w:t>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11）记录所有显示数据和环境参数，包括：</w:t>
      </w:r>
      <w:r/>
    </w:p>
    <w:p>
      <w:pPr>
        <w:ind w:firstLine="72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①进线负载电流和接地电流;</w:t>
      </w:r>
      <w:r/>
    </w:p>
    <w:p>
      <w:pPr>
        <w:ind w:firstLine="72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②配电盘承载电流;</w:t>
      </w:r>
      <w:r/>
    </w:p>
    <w:p>
      <w:pPr>
        <w:ind w:firstLine="72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③支路的电压和电流。</w:t>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sz w:val="24"/>
          <w:szCs w:val="24"/>
          <w:highlight w:val="none"/>
          <w:lang w:val="en-US" w:eastAsia="zh-CN" w:bidi="ar-SA"/>
        </w:rPr>
        <w:t xml:space="preserve">12）进行蓄电池参数测试，用专用电池测量仪表测量每</w:t>
      </w:r>
      <w:r>
        <w:rPr>
          <w:rFonts w:hint="eastAsia" w:ascii="宋体" w:hAnsi="宋体" w:cs="宋体"/>
          <w:color w:val="auto"/>
          <w:sz w:val="24"/>
          <w:highlight w:val="none"/>
          <w:lang w:val="en-US" w:eastAsia="zh-CN"/>
        </w:rPr>
        <w:t xml:space="preserve">块蓄电池的电压、内阻等参数，并出具电池参数报告。</w:t>
      </w:r>
      <w:r/>
    </w:p>
    <w:p>
      <w:pPr>
        <w:ind w:firstLine="360"/>
        <w:keepLines w:val="0"/>
        <w:keepNext w:val="0"/>
        <w:pageBreakBefore w:val="0"/>
        <w:spacing w:before="120" w:after="120" w:line="400" w:lineRule="atLeast"/>
        <w:widowControl w:val="off"/>
        <w:rPr>
          <w:rFonts w:hint="eastAsia" w:ascii="宋体" w:hAnsi="宋体" w:cs="宋体"/>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pPr>
      <w:r/>
      <w:bookmarkStart w:id="129" w:name="_Toc30919"/>
      <w:r/>
      <w:bookmarkStart w:id="130" w:name="_Toc26672"/>
      <w:r>
        <w:rPr>
          <w:rFonts w:hint="eastAsia" w:ascii="宋体" w:hAnsi="宋体" w:cs="宋体"/>
          <w:b w:val="0"/>
          <w:bCs w:val="0"/>
          <w:color w:val="auto"/>
          <w:sz w:val="24"/>
          <w:highlight w:val="none"/>
          <w:lang w:val="en-US" w:eastAsia="zh-CN"/>
        </w:rPr>
        <w:t xml:space="preserve">（5）精密空调设备维护</w:t>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对机房专用空调进行维保，日常内容包括：</w:t>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1）控制系统，检查显示单元是否正常，各设置参数是否正确，查看历史报警记录对报警内容进行分析消除隐患。</w:t>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2）空气过滤器，检查空气过滤器，如需更换则更换空气过滤器。</w:t>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3）加湿器</w:t>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①检查蒸汽加湿器是否结垢，如结垢需拆下加湿器进行清洗或更换；</w:t>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②拆下蒸汽加湿器，检查三相加湿电极是否接触紧密，是否有破损，保证加湿时的电路安全。</w:t>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③运用维修模式检查上水是否通畅且速度平衡。</w:t>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④运用维修模式检查排水是否通畅。</w:t>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⑤运用维修模式检查三相加湿电流是否平衡，且在正常工作范围之内。</w:t>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⑥检查蒸汽输出口是否紧密、漏气。</w:t>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⑦检查蒸汽输出量是否能够保证机房湿度。</w:t>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4）外部冷凝器</w:t>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①检查冷凝器是否清洁，如需清洁需用专用的清洗工具清洗室外冷凝器。（每季各清洗一次室外机，春夏季交替时出现毛絮天气定时清理，夏季高温时定期检查。）</w:t>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②检查风扇转动，有无异常噪声，运行电路是否正常。</w:t>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③检查室外冷凝器的电源开关，工作是否正常，绝缘是否可靠，电气接点是否紧固。</w:t>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④检查压力继电器，对室外风机的控制是否与设置的一致并且根据当时的具体工作环境调整压力继电器。</w:t>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⑤检查蒸发器是否清洁，如有污垢用药剂清洗，保证足够的热交换量。</w:t>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⑥检查风机马达运转是否正常，有无异常噪音，并且轴承是否发热，检查耗电量。对于由皮带传动的机组，检查传动皮带，用手指拉紧时，是否可延长2cm；</w:t>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⑦检查三级电加热器的各级加热电流及各电气接点是否正常。电加热器的过热保护是否灵敏。</w:t>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5）电路</w:t>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①检查主电源及各支路的各相电压，电流：</w:t>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②检查所有的接触器，触点是否清洁，接触是否可靠、检测吸合的瞬间电流，对各接点进行紧固，确保安全；</w:t>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③对24V控制线路进行检测，确保控制的灵敏。</w:t>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④对各种系统保护功能进行检测，（例如高压保护，低压保护，过热保护，连续保护等）保证设备的安全运转。</w:t>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6）制冷系统</w:t>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①检查制冷系统运行压力（高压，低压）是否正常，并根据当时的室外环境对压力进行适当的调节；</w:t>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②检查压缩机的三相绕组是否平衡，绕组的绝缘是否可靠。</w:t>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③进行过热度的测试，判断系统的运行效率是否能够达到指定的性能指标。</w:t>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④压缩机工作时的声音是否异常，以判定系统的润滑程度。</w:t>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⑤检查排水系统是否畅通，如有水垢或异物阻塞管道，用药剂疏通管道，保证排水顺畅。</w:t>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7）特殊维护</w:t>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对于由于特殊原因、非正常因素引起的空调故障，对空调进行调试、检修工作由专业且熟练的制冷工程技术人员（拥有制冷操作员证书）进行操作。</w:t>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①当需加注冷冻油时加注冷冻油。</w:t>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②当有氟量损失时应补充制冷剂。</w:t>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③调整热力膨胀阀</w:t>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④压力开关、风量开关等的校准</w:t>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8）配件更换</w:t>
      </w:r>
      <w:r/>
    </w:p>
    <w:p>
      <w:pPr>
        <w:ind w:firstLine="60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当有故障器件需要更换时，运维服务商须提供同品牌同型号同容量备件替换。</w:t>
      </w:r>
      <w:bookmarkEnd w:id="129"/>
      <w:r/>
      <w:r/>
    </w:p>
    <w:p>
      <w:pPr>
        <w:ind w:firstLine="360"/>
        <w:keepLines w:val="0"/>
        <w:keepNext w:val="0"/>
        <w:pageBreakBefore w:val="0"/>
        <w:spacing w:before="120" w:after="120" w:line="400" w:lineRule="atLeast"/>
        <w:widowControl w:val="off"/>
        <w:rPr>
          <w:rFonts w:hint="eastAsia" w:ascii="宋体" w:hAnsi="宋体" w:cs="宋体"/>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highlight w:val="none"/>
          <w:lang w:val="en-US" w:eastAsia="zh-CN"/>
        </w:rPr>
        <w:t xml:space="preserve">（6）其他设备维护</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主要包含交警支队中心机房的消防控制系统和动力环境（动环）检测系统进行维护。维保单位需每日检查消防报警设备、灭火装置、疏散指示标志等是否正常运行，确保在紧急情况下能够迅速响应并采取有效措施。动环检测系统则实时监测机房的温度、湿度、电力供应、空调运行等关键参数，需检查系统数据准确性、设备连接稳定性，及时发现潜在隐患。对巡查记录进行统一的管理，检查后详细记录检查时间、检查内容、发现的问题及处理措施。</w:t>
      </w:r>
      <w:r/>
    </w:p>
    <w:p>
      <w:pPr>
        <w:ind w:firstLine="482"/>
        <w:keepLines w:val="0"/>
        <w:keepNext w:val="0"/>
        <w:pageBreakBefore w:val="0"/>
        <w:spacing w:before="120" w:after="120" w:line="400" w:lineRule="atLeast"/>
        <w:widowControl w:val="off"/>
        <w:rPr>
          <w:rFonts w:hint="eastAsia" w:ascii="宋体" w:hAnsi="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bookmarkStart w:id="131" w:name="_Toc205306559"/>
      <w:r>
        <w:rPr>
          <w:rFonts w:hint="eastAsia" w:ascii="宋体" w:hAnsi="宋体" w:cs="宋体"/>
          <w:b/>
          <w:bCs/>
          <w:color w:val="auto"/>
          <w:sz w:val="24"/>
          <w:highlight w:val="none"/>
          <w:lang w:val="en-US" w:eastAsia="zh-CN"/>
        </w:rPr>
        <w:t xml:space="preserve">2.前端设备维护内容</w:t>
      </w:r>
      <w:bookmarkEnd w:id="131"/>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本次维保范围涵盖全市前端感知设备总</w:t>
      </w:r>
      <w:r>
        <w:rPr>
          <w:rFonts w:hint="eastAsia" w:ascii="宋体" w:hAnsi="宋体" w:cs="宋体"/>
          <w:color w:val="auto"/>
          <w:sz w:val="24"/>
          <w:highlight w:val="none"/>
          <w:lang w:val="en-US" w:eastAsia="zh-CN"/>
        </w:rPr>
        <w:t xml:space="preserve">计3155台，其中公安交通集成指挥平台重要点位关联设备84台，执法取证设备1946台，预警卡口设备1125台。经全面梳理，截至目前，已超出厂家质保期的设备约2800余台，占比近九成；其余300余台设备虽仍在质保范围内，但将于2026年12月31日前按批次陆续到期。运行状态方面，目前在线设备约2500余台，离线设备约600余台，整体在线率约80%。离线原因主要集中在供电故障、网络中断及设备老化等。（包括但不仅限于设备正常运行所需的补光灯、终端服务器、交换机、光纤、网线、电源线、机柜机箱等辅助设备、材料的维护）</w:t>
      </w:r>
      <w:r>
        <w:rPr>
          <w:rFonts w:hint="eastAsia" w:ascii="宋体" w:hAnsi="宋体" w:cs="宋体"/>
          <w:color w:val="auto"/>
          <w:sz w:val="24"/>
          <w:highlight w:val="none"/>
          <w:lang w:val="en-US" w:eastAsia="zh-CN"/>
        </w:rPr>
        <w:br/>
      </w:r>
      <w:r>
        <w:rPr>
          <w:rFonts w:hint="eastAsia" w:ascii="宋体" w:hAnsi="宋体" w:cs="宋体"/>
          <w:color w:val="auto"/>
          <w:sz w:val="24"/>
          <w:highlight w:val="none"/>
          <w:lang w:val="en-US" w:eastAsia="zh-CN"/>
        </w:rPr>
        <w:t xml:space="preserve">维保要求如下：</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（1）每日进行视频监控系统工作状况进行检查,查看系统抓拍图片上传情况并对故障情形进行登记、上报；发现故障，立即安排人员排除；</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（2）针对运维服务平台中标签的历史故障多、5-8年、超7年设备主动运维，加强巡检频率和维护跟进；</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（3）前端设备的日常维护与保养，包括终端、抓拍、补光灯、杆件等设备的清洁、检修、调试、维护、遮挡处理等内容，并每月提交设备维护与保养报告；</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（4）负责对前端故障设备的检修、分析处理，对于需更换部件的，负责设备诊断、维修和安装调试；</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停用设备约定：因道路施工、路口改造、设备升级、设备迁移等原因造成设备停用的，由运维服务单位负责存放设备，并对设备进行保管保养，保障设备能随时投入使用，停用期间用户可以选择更换其他脱保设备进行维护，并做好报备工作。</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（6）根据采购人要求，随时指派技术人员到系统前端进行信息查询及拷贝调看有关图像；运维服务单位需自备交通工具和查询及拷贝调看有关图像所需要的工具；</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（7）做好上级部门要求的公安网、泛在感知网等安全防范管理工作；</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（8）协助相关外建道路科技设施移交核查工作；</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（9）做好交警自建项目、外建项目移交设备的配置、管理、运维等四同步工作（包括：服务器、交换机、光端机等机房内所有设备）；</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（10）对设备输出的图片质量进行检查，确保图片清晰、色彩准确，发现图片质量问题及时立即安排人员整改。</w:t>
      </w:r>
      <w:r/>
    </w:p>
    <w:p>
      <w:pPr>
        <w:ind w:firstLine="361"/>
        <w:keepLines w:val="0"/>
        <w:keepNext w:val="0"/>
        <w:pageBreakBefore w:val="0"/>
        <w:spacing w:before="120" w:after="120" w:line="400" w:lineRule="atLeast"/>
        <w:widowControl w:val="off"/>
        <w:rPr>
          <w:rFonts w:hint="eastAsia" w:ascii="宋体" w:hAnsi="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bookmarkStart w:id="132" w:name="_Toc205306560"/>
      <w:r>
        <w:rPr>
          <w:rFonts w:hint="eastAsia" w:ascii="宋体" w:hAnsi="宋体" w:cs="宋体"/>
          <w:b/>
          <w:bCs/>
          <w:color w:val="auto"/>
          <w:sz w:val="24"/>
          <w:highlight w:val="none"/>
          <w:lang w:val="en-US" w:eastAsia="zh-CN"/>
        </w:rPr>
        <w:t xml:space="preserve">3.应用平台系统服务内容要求</w:t>
      </w:r>
      <w:bookmarkEnd w:id="132"/>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（1）专用应用平台维保延期</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为进一步提升泰州市交警支队的信息化管理水平，确保各项软件系统稳定运行，保障交通管理工作的高效开展，对交警支队现有的5套关键软件系统进行延期一年的维保服务。这5套软件系统分别是非现场处理监管平台、人脸识别服务、同步库软件、感知网视频联网平台以及公安交通集成指挥平台软件。该5套软件目前均已过保，运行正常。</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非现场处理监管平台由苏州新希望开发，该平台是交通管理的重要工具，能够高效处理交通违法行为的非现场数据，确保执法的公正性和准确性。本次由苏州新希望进行维保服务。</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人脸识别服务由上海依图开发建设，为交警执法提供了强大的技术支持，通过精准识别人员身份，比对人脸信息、分析失格驾驶嫌疑数据，清除交通安全隐患，提升了执法效率和安全性。本次由上海依图进行维保服务。</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同步库软件由迪思杰开发，作为数据交互的核心工具，保障了各类数据的实时同步与准确传输，分析业务数据、监管、指导交警工作，确保各部门之间的信息共享畅通无阻。本次由迪思杰进行维保服务。</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感知网视频联网平台原厂为海康威视汇聚了全市的车辆相关监控，对实时视频巡检、录像溯源具有重要作用。本次由海康威视进行维保服务。</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公安交通集成指挥平台研发单位为无锡科研所主要通过视频监控、卡口识别等技术实时采集道路交通数据，自动分析车辆特征、驾驶行为及路况信息，预警涉牌违法、超速等异常行为。</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此次项目采购上述5套软件的维保服务，通过专业团队的技术支持，进一步优化软件性能，及时解决可能出现的技术问题，确保系统运行的稳定性与可靠性。维保服务将包括但不限于软件的日常巡检、故障排查、系统升级、安全漏洞修复以及技术支持等方面。通过专业的维护，能够有效延长软件系统的使用寿命，降低系统故障风险，同时为交警支队的信息化建设提供坚实的技术保障。</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在维保服务期间，维保单位需定期与原厂进行沟通协调，确保维保工作的顺利开展。同时，需加强对软件系统的使用管理，规范操作流程，提升系统运行效率。</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bookmarkStart w:id="133" w:name="_Toc2124"/>
      <w:r>
        <w:rPr>
          <w:rFonts w:hint="eastAsia" w:ascii="宋体" w:hAnsi="宋体" w:cs="宋体"/>
          <w:color w:val="auto"/>
          <w:sz w:val="24"/>
          <w:highlight w:val="none"/>
          <w:lang w:val="en-US" w:eastAsia="zh-CN"/>
        </w:rPr>
        <w:t xml:space="preserve">（2）常规软件维保服务内容(包括但不仅限于以下内容)</w:t>
      </w:r>
      <w:bookmarkEnd w:id="133"/>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①对服务器操作系统、数据库、中间件及数据备份系统等系统软件的运行进行日常检查，发现故障、报警和安全问题等信息，及时进行维护；</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②对目前在用的各个业务平台上的所有模块和数据(如视频汇聚平台等)进行管理、维护及日常配置，保证业务数据准确；</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③协助完成核心系统平台(包括数据库服务器、应用服务器、备份服务器和存储设备，以及服务器操作系统、数据库、中间件软件、数据备份系统等)的优化调试、系统配置、补丁升级及安全防护，保障系统运行；</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④提供完善的数据库安全备份机制和策略，实施每日数据备份及恢复，保障备份设备及软件的正常运行，提交数据备份报告，并在发生系统故障时，实施备份机制；</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⑤完成省厅要求的IP地址统一管理工作，并做好市公安局、省公安厅交管局要求的点位及数据的平台推送工作，做好市局及省公安厅交管局的各项视频监控系统考核指标维护工作；</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⑥做好上级部门要求的公安网、泛在感知网等安全防范管理工作；</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⑦协助相关外建道路科技设施移交核查工作，做好泰州辖区内的所有电子警察的集成指挥平台备案工作；</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⑧做好交警自建项目、外建项目移交设备的配置、管理、运维等四同步工作（包括：服务器、交换机、光端机等机房内所有设备）。</w:t>
      </w:r>
      <w:r/>
    </w:p>
    <w:p>
      <w:pPr>
        <w:ind w:firstLine="482"/>
        <w:keepLines w:val="0"/>
        <w:keepNext w:val="0"/>
        <w:pageBreakBefore w:val="0"/>
        <w:spacing w:before="120" w:after="120" w:line="400" w:lineRule="atLeast"/>
        <w:widowControl w:val="off"/>
        <w:rPr>
          <w:rFonts w:hint="eastAsia" w:ascii="宋体" w:hAnsi="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bookmarkStart w:id="134" w:name="_Toc205306561"/>
      <w:r>
        <w:rPr>
          <w:rFonts w:hint="eastAsia" w:ascii="宋体" w:hAnsi="宋体" w:cs="宋体"/>
          <w:b/>
          <w:bCs/>
          <w:color w:val="auto"/>
          <w:sz w:val="24"/>
          <w:highlight w:val="none"/>
          <w:lang w:val="en-US" w:eastAsia="zh-CN"/>
        </w:rPr>
        <w:t xml:space="preserve">4.服务响应要求</w:t>
      </w:r>
      <w:bookmarkEnd w:id="130"/>
      <w:r/>
      <w:bookmarkEnd w:id="134"/>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（1）运维服务单位指派1名专职工程师，负责组织和协调整个项目的系统维护工作，并保证满足在7×24小时答复采购人内部使用人员的提问，对于系统发生的一切问题，这名工程师都将负责安排有效的维护工作。</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运维服务单位提供7×24小时响应服务，对于不影响采购人业务工作的一般性故障，运维服务单位的工程师将首先向采购人提供故障热线电话支持服务或现场响应服务；对于已导致或影响业务工作不能正常进行的系统故障，运维服务单位工程师应在1小时内响应，提交故障解决措施，并协助完成故障的诊断和排除。</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（3）运维服务单位提供7×24小时服务热线电话，在采购人发现系统故障或遇到疑难问题时给予立即响应。</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机房内硬件维护应做到所有设备的正常运行，在设备有报警信息的时候，要及时处理，保证无报警信息，以免影响系统正常运行。保证所有设备的故障维修配件都为原厂，在维护期内的所有设备及配件(含设备无法修复需要更换)维修，费用全部由运维服务单位承担。</w:t>
      </w:r>
      <w:r/>
    </w:p>
    <w:p>
      <w:pPr>
        <w:keepLines w:val="0"/>
        <w:keepNext w:val="0"/>
        <w:pageBreakBefore w:val="0"/>
        <w:spacing w:before="120" w:after="120" w:line="400" w:lineRule="atLeast"/>
        <w:widowControl w:val="off"/>
        <w:rPr>
          <w:rFonts w:hint="eastAsia" w:ascii="宋体" w:hAnsi="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bookmarkStart w:id="135" w:name="_Toc205306562"/>
      <w:r/>
      <w:bookmarkStart w:id="136" w:name="_Toc17189"/>
      <w:r>
        <w:rPr>
          <w:rFonts w:hint="eastAsia" w:ascii="宋体" w:hAnsi="宋体" w:cs="宋体"/>
          <w:b/>
          <w:bCs/>
          <w:color w:val="auto"/>
          <w:sz w:val="24"/>
          <w:highlight w:val="none"/>
          <w:lang w:val="en-US" w:eastAsia="zh-CN"/>
        </w:rPr>
        <w:t xml:space="preserve">（二）车管所维护内容(包括但不仅限于以下内容)</w:t>
      </w:r>
      <w:bookmarkEnd w:id="135"/>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1.对服务器设备、存储设备等机房内应用支撑硬件设备，进行日常检查，发现问题，及时维修，并做好每日巡查记录，约170台各类设备；</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val="en-US" w:eastAsia="zh-CN"/>
        </w:rPr>
        <w:tab/>
      </w:r>
      <w:r>
        <w:rPr>
          <w:rFonts w:hint="eastAsia" w:ascii="宋体" w:hAnsi="宋体" w:cs="宋体"/>
          <w:color w:val="auto"/>
          <w:sz w:val="24"/>
          <w:highlight w:val="none"/>
          <w:lang w:val="en-US" w:eastAsia="zh-CN"/>
        </w:rPr>
        <w:t xml:space="preserve">对UPS供配电系统、精密空调系统、消防控制系统、动环检测系统，进行日常检查，发现问题，及时维修，并做好每日巡查记录；</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val="en-US" w:eastAsia="zh-CN"/>
        </w:rPr>
        <w:tab/>
      </w:r>
      <w:r>
        <w:rPr>
          <w:rFonts w:hint="eastAsia" w:ascii="宋体" w:hAnsi="宋体" w:cs="宋体"/>
          <w:color w:val="auto"/>
          <w:sz w:val="24"/>
          <w:highlight w:val="none"/>
          <w:lang w:val="en-US" w:eastAsia="zh-CN"/>
        </w:rPr>
        <w:t xml:space="preserve">对机房内网络进行管理配置，保障网络畅通，对网络故障进行诊断分析，并提交诊断报告；</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4.做好上级部门要求的公安网、泛在感知网等安全防范管理工作；</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5.两台20KW精密空调设备，一台UPS主机（原UPS并机有一台已损坏无法使用，拆除并机后单机运行），进行维保；</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6.车管所前端设备维护，包含定期检查、网络保障、日常维修记录等；</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7.对所维保硬件设备涉及的基础软件进行巡检，检查软件正常运行，是否有补丁、系统漏洞发布，对发现的问题及时报修处理或漏洞封堵。按要求进行软件升级、补丁程序安装、系统参数调整及性能优化调整、整理磁盘空间、分析日志文件、中间件系统维护、虚拟化集群维护、Oracle RAC集群维护、数据备份和恢复、技术咨询、定期巡检、现场故障排除等。</w:t>
      </w:r>
      <w:bookmarkEnd w:id="136"/>
      <w:r/>
      <w:r/>
    </w:p>
    <w:p>
      <w:pPr>
        <w:keepLines w:val="0"/>
        <w:keepNext w:val="0"/>
        <w:pageBreakBefore w:val="0"/>
        <w:spacing w:before="120" w:after="120" w:line="400" w:lineRule="atLeast"/>
        <w:widowControl w:val="off"/>
        <w:rPr>
          <w:rFonts w:hint="eastAsia" w:ascii="宋体" w:hAnsi="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bookmarkStart w:id="137" w:name="_Toc205306563"/>
      <w:r/>
      <w:bookmarkStart w:id="138" w:name="_Toc8277"/>
      <w:r>
        <w:rPr>
          <w:rFonts w:hint="eastAsia" w:ascii="宋体" w:hAnsi="宋体" w:cs="宋体"/>
          <w:b/>
          <w:bCs/>
          <w:color w:val="auto"/>
          <w:sz w:val="24"/>
          <w:highlight w:val="none"/>
          <w:lang w:val="en-US" w:eastAsia="zh-CN"/>
        </w:rPr>
        <w:t xml:space="preserve">（三）日常维护要求</w:t>
      </w:r>
      <w:bookmarkEnd w:id="137"/>
      <w:r/>
      <w:bookmarkEnd w:id="138"/>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bookmarkStart w:id="139" w:name="_Toc12048"/>
      <w:r/>
      <w:bookmarkStart w:id="140" w:name="_Toc205306564"/>
      <w:r>
        <w:rPr>
          <w:rFonts w:hint="eastAsia" w:ascii="宋体" w:hAnsi="宋体" w:cs="宋体"/>
          <w:color w:val="auto"/>
          <w:sz w:val="24"/>
          <w:highlight w:val="none"/>
          <w:lang w:val="en-US" w:eastAsia="zh-CN"/>
        </w:rPr>
        <w:t xml:space="preserve">1.确保维护设备和系统7×24小时正常运行。</w:t>
      </w:r>
      <w:bookmarkEnd w:id="139"/>
      <w:r/>
      <w:bookmarkEnd w:id="140"/>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bookmarkStart w:id="141" w:name="_Toc205306565"/>
      <w:r/>
      <w:bookmarkStart w:id="142" w:name="_Toc15195"/>
      <w:r>
        <w:rPr>
          <w:rFonts w:hint="eastAsia" w:ascii="宋体" w:hAnsi="宋体" w:cs="宋体"/>
          <w:color w:val="auto"/>
          <w:sz w:val="24"/>
          <w:highlight w:val="none"/>
          <w:lang w:val="en-US" w:eastAsia="zh-CN"/>
        </w:rPr>
        <w:t xml:space="preserve">2.派驻人员接受用户方管理，具体负责：</w:t>
      </w:r>
      <w:bookmarkEnd w:id="141"/>
      <w:r/>
      <w:bookmarkEnd w:id="142"/>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（1）每日对中心监控系统及设备检查检测、外场设备的远程控制检查检测，对收集的信息进行检查，确保系统平台正常运转，并做好情况登记及业务分解；</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（2）配合业主责任人做好系统参数调整；</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（3）配合项目责任人开展业务培训；</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（4）做好信息登记情况表及故障处理表；</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（5）信息和数据的备份整理工作；</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（6）做好各项数据资料登记管理，按时提供各项数据报表；</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（7）历史故障多、5-8年、超8年设备，加强视频和图片质量的自检，主动优化调整。</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bookmarkStart w:id="143" w:name="_Toc205306566"/>
      <w:r/>
      <w:bookmarkStart w:id="144" w:name="_Toc12410"/>
      <w:r>
        <w:rPr>
          <w:rFonts w:hint="eastAsia" w:ascii="宋体" w:hAnsi="宋体" w:cs="宋体"/>
          <w:color w:val="auto"/>
          <w:sz w:val="24"/>
          <w:highlight w:val="none"/>
          <w:lang w:val="en-US" w:eastAsia="zh-CN"/>
        </w:rPr>
        <w:t xml:space="preserve">3.维保范围内设备每季度至少巡检一次，并建立巡检台账。</w:t>
      </w:r>
      <w:bookmarkEnd w:id="143"/>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（1）巡检内容为：</w:t>
      </w:r>
      <w:bookmarkEnd w:id="144"/>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维保范围内设备平台巡检，确保设备完好；</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处理数字化城管、12345等派发工单；</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设备的安全性能检查，对设备的牢固性、完整性及线路老化情况进行检查登记，并及时消除影响设备安全和运行功能的隐患；</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设备参数调整，如调整光圈、焦距、白平衡等参数，保证图像清晰；</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统计遮挡物，如树枝等遮挡设备的情况，并统计上报，协助清理。</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（2）特殊情况服务要求为：</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遇灾害天气，应提前检查加固外场设备，确保外场设备的安全，因检修工作不到位造成的损失以及后果，由维护单位承担；</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每年重要节假日（如五一、十一等）、大型活动期间，特定巡检、维修、维护、清洁、保养；</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重大节假日或重大活动必须听从采购人的工作安排，根据情况增加维护人员及车辆。</w:t>
      </w:r>
      <w:r/>
    </w:p>
    <w:p>
      <w:pP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lang w:val="en-US" w:eastAsia="zh-CN"/>
        </w:rPr>
        <w:t xml:space="preserve">（四）维修和更换要求</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运维服务单位在维护期内更换的维护材料和设备包含在本次维护投标报价中，所有维护所需材料免费提供。维护材料更换必须与现有设备相匹配和符合采购单位实际需求。针对设备故障必须维修和更换的原则如下：</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1.设备故障无法修复或用户单位、监理单位认为必须更换全新设备和材料的，维护单位必须更换为全新同型号、配置或更高型号、配置设备，要求在48小时内完成更换。</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2.设备运行时间在5年及以上的，如在运维期间发生设备故障，经设备原厂确认无法维修后，由运维服务单位提供设备更换服务，相关配件必须更换为全新同型号、配置或更高型号、配置设备。</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3.设备运行时间在8年及以上的，如在运维期间发生设备故障时，由运维服务单位提供设备更换服务，相关配件必须更换为全新同型号、配置或更高型号、配置设备。</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4.设备故障维护后各项技术指标达不到系统参数要求或用户使用需求的，必须更换为全新同型号、配置或更高型号、配置设备。</w:t>
      </w:r>
      <w:r/>
    </w:p>
    <w:p>
      <w:pP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lang w:val="en-US" w:eastAsia="zh-CN"/>
        </w:rPr>
        <w:t xml:space="preserve">（五）保密要求</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1.运维服务单位应保证其公司人员在采购人服务期间所接触的采购人的各种文件，数据，系统资料，系统操作等严格遵守采购人的保密制度，不得向第三方透露。</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2.运维服务单位的服务人员在对采购人的业务有关的终端、软件和非技术部门进行服务时均需有采购方人员在场。</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系统运行在公安专用网络内，运维服务单位应当严格遵守公安网络使用制度以及公安信息系统使用规定，严禁泄漏公安网络信息，未经采购方人员确认，运维服务单位的服务人员不得对采购人业务系统做任何操作。</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4.按照各级公安机关对公安信息网络的安全要求，运维服务单位与用户方签订安全保密协议，落实公安网络安全及信息保密的各项规定。</w:t>
      </w:r>
      <w:r/>
    </w:p>
    <w:p>
      <w:pPr>
        <w:ind w:firstLine="480"/>
        <w:keepLines w:val="0"/>
        <w:keepNext w:val="0"/>
        <w:pageBreakBefore w:val="0"/>
        <w:spacing w:before="120" w:after="120" w:line="400" w:lineRule="atLeast"/>
        <w:widowControl w:val="off"/>
        <w:rPr>
          <w:rFonts w:hint="eastAsia" w:ascii="宋体" w:hAnsi="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5.运维服务人员必须在公安部合作人员系统备案通过。</w:t>
      </w:r>
      <w:r/>
    </w:p>
    <w:p>
      <w:pPr>
        <w:keepLines w:val="0"/>
        <w:keepNext w:val="0"/>
        <w:pageBreakBefore w:val="0"/>
        <w:spacing w:before="120" w:after="120" w:line="400" w:lineRule="atLeast"/>
        <w:widowControl w:val="off"/>
        <w:rPr>
          <w:rFonts w:hint="eastAsia" w:ascii="宋体" w:hAnsi="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lang w:val="en-US" w:eastAsia="zh-CN"/>
        </w:rPr>
        <w:t xml:space="preserve">（六）资料归档要求</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运维管理单位应在运维期结束后按采购人要求提供运维归档资料。运维项目期结束后，运维管理单位须向采购人提交2套采购人认为完整、合格的纸质归档文件及1套竣工文件纸质扫描件（内容与纸质文件内容一致），并按实际要求提供不限于以上的归档文件。</w:t>
      </w:r>
      <w:r/>
    </w:p>
    <w:p>
      <w:pPr>
        <w:spacing w:line="360" w:lineRule="auto"/>
        <w:rPr>
          <w:rFonts w:hint="default" w:ascii="宋体" w:hAnsi="宋体" w:cs="仿宋"/>
          <w:b/>
          <w:bCs/>
          <w:color w:val="auto"/>
          <w:sz w:val="24"/>
          <w:highlight w:val="none"/>
          <w:lang w:val="en-US" w:eastAsia="zh-CN"/>
        </w:rPr>
      </w:pPr>
      <w:r>
        <w:rPr>
          <w:rFonts w:hint="eastAsia" w:ascii="宋体" w:hAnsi="宋体" w:cs="仿宋"/>
          <w:b/>
          <w:bCs/>
          <w:color w:val="auto"/>
          <w:sz w:val="24"/>
          <w:highlight w:val="none"/>
          <w:lang w:val="en-US" w:eastAsia="zh-CN"/>
        </w:rPr>
        <w:t xml:space="preserve">四、人员及资源配置要求</w:t>
      </w:r>
      <w:r/>
    </w:p>
    <w:p>
      <w:pPr>
        <w:ind w:firstLine="482"/>
        <w:keepLines w:val="0"/>
        <w:keepNext w:val="0"/>
        <w:pageBreakBefore w:val="0"/>
        <w:spacing w:before="120" w:after="120" w:line="400" w:lineRule="atLeast"/>
        <w:widowControl w:val="off"/>
        <w:rPr>
          <w:rFonts w:hint="eastAsia" w:ascii="宋体" w:hAnsi="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bookmarkStart w:id="145" w:name="_Toc205306568"/>
      <w:r/>
      <w:bookmarkStart w:id="146" w:name="_Toc23819"/>
      <w:r/>
      <w:bookmarkStart w:id="147" w:name="_Toc35266560"/>
      <w:r>
        <w:rPr>
          <w:rFonts w:hint="eastAsia" w:ascii="宋体" w:hAnsi="宋体" w:cs="宋体"/>
          <w:b/>
          <w:bCs/>
          <w:color w:val="auto"/>
          <w:sz w:val="24"/>
          <w:highlight w:val="none"/>
          <w:lang w:val="en-US" w:eastAsia="zh-CN"/>
        </w:rPr>
        <w:t xml:space="preserve">（一）运维人员要求</w:t>
      </w:r>
      <w:bookmarkEnd w:id="145"/>
      <w:r/>
      <w:bookmarkEnd w:id="146"/>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本项目对运维人员的配置要求如下：</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项目经理（1人）：负责项目整体运维工作，统筹、协调、管理各运维小组的人员、运维资源。跟踪指导各运维小组的日常监控、现场巡检、系统优化、技术支持及相关的结果汇报工作。项目经理要具备相关专业运维服务证书。</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2.常驻现场运维工程师（不少于3人）：负责视频汇聚平台、机房蓄电池/UPS/空调/消防、服务器、存储设备的日常监控、巡检，设备维护及清洁，进行故障处理、解决、反馈工作，系统优化、重大活动保障等工作。</w:t>
      </w:r>
      <w:bookmarkEnd w:id="147"/>
      <w:r/>
      <w:bookmarkStart w:id="148" w:name="_Toc23067955"/>
      <w:r/>
      <w:bookmarkStart w:id="149" w:name="_Toc35266562"/>
      <w:r/>
      <w:r/>
    </w:p>
    <w:p>
      <w:pPr>
        <w:ind w:firstLine="480"/>
        <w:keepLines w:val="0"/>
        <w:keepNext w:val="0"/>
        <w:pageBreakBefore w:val="0"/>
        <w:spacing w:before="120" w:after="120" w:line="400" w:lineRule="atLeast"/>
        <w:widowControl w:val="off"/>
        <w:rPr>
          <w:rFonts w:hint="eastAsia" w:ascii="宋体" w:hAnsi="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3.外场-维护工程师（不少于10人）：负责前端设备的日常监控、巡检，设备维护及清洁，进行故障处理、解决、反馈工作，系统优化、重大活动保障等工作。外场维护根据区域、数量等分为5组。</w:t>
      </w:r>
      <w:r>
        <w:rPr>
          <w:rFonts w:hint="eastAsia" w:ascii="宋体" w:hAnsi="宋体" w:cs="宋体"/>
          <w:b/>
          <w:bCs/>
          <w:color w:val="auto"/>
          <w:sz w:val="24"/>
          <w:highlight w:val="none"/>
          <w:lang w:val="en-US" w:eastAsia="zh-CN"/>
        </w:rPr>
        <w:t xml:space="preserve">外场运维班的高空作业人员须具备高空作业操作证且在检验有效期内。</w:t>
      </w:r>
      <w:bookmarkEnd w:id="148"/>
      <w:r/>
      <w:bookmarkEnd w:id="149"/>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bookmarkStart w:id="150" w:name="_Toc23067956"/>
      <w:r/>
      <w:bookmarkStart w:id="151" w:name="_Toc4323"/>
      <w:r/>
      <w:bookmarkStart w:id="152" w:name="_Toc205306569"/>
      <w:r/>
      <w:bookmarkStart w:id="153" w:name="_Toc35266563"/>
      <w:r>
        <w:rPr>
          <w:rFonts w:hint="eastAsia" w:ascii="宋体" w:hAnsi="宋体" w:cs="宋体"/>
          <w:color w:val="auto"/>
          <w:sz w:val="24"/>
          <w:highlight w:val="none"/>
          <w:lang w:val="en-US" w:eastAsia="zh-CN"/>
        </w:rPr>
        <w:t xml:space="preserve">（二）备品备件</w:t>
      </w:r>
      <w:bookmarkEnd w:id="150"/>
      <w:r/>
      <w:bookmarkEnd w:id="151"/>
      <w:r/>
      <w:bookmarkEnd w:id="152"/>
      <w:r/>
      <w:bookmarkEnd w:id="153"/>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为提高故障排除解决效率，运维服务单位应自建完善的备品备件库，并制订相应的管理体系，拥有通畅的备品备件发放及回收渠道，提高备品备件的有效支持能力，能够向用户提供较为全面的设备更换服务，大幅度缩短设备更换周期，使用户能够在很短的时间内获得所需的设备，同时做好备品备件中心库的监督与管理工作。</w:t>
      </w:r>
      <w:bookmarkEnd w:id="108"/>
      <w:r/>
      <w:bookmarkEnd w:id="109"/>
      <w:r/>
      <w:r/>
    </w:p>
    <w:p>
      <w:pPr>
        <w:keepLines w:val="0"/>
        <w:keepNext w:val="0"/>
        <w:pageBreakBefore w:val="0"/>
        <w:spacing w:before="120" w:after="120" w:line="400" w:lineRule="atLeast"/>
        <w:widowControl w:val="off"/>
        <w:rPr>
          <w:rFonts w:hint="eastAsia" w:ascii="宋体" w:hAnsi="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bookmarkStart w:id="154" w:name="_Toc10158"/>
      <w:r>
        <w:rPr>
          <w:rFonts w:hint="eastAsia" w:ascii="宋体" w:hAnsi="宋体" w:cs="宋体"/>
          <w:b/>
          <w:bCs/>
          <w:color w:val="auto"/>
          <w:sz w:val="24"/>
          <w:highlight w:val="none"/>
          <w:lang w:val="en-US" w:eastAsia="zh-CN"/>
        </w:rPr>
        <w:t xml:space="preserve">五、</w:t>
      </w:r>
      <w:bookmarkStart w:id="155" w:name="_Toc5460"/>
      <w:r/>
      <w:bookmarkStart w:id="156" w:name="_Toc127908113"/>
      <w:r/>
      <w:bookmarkStart w:id="157" w:name="_Toc35431548"/>
      <w:r/>
      <w:bookmarkStart w:id="158" w:name="_Toc205306570"/>
      <w:r>
        <w:rPr>
          <w:rFonts w:hint="eastAsia" w:ascii="宋体" w:hAnsi="宋体" w:cs="宋体"/>
          <w:b/>
          <w:bCs/>
          <w:color w:val="auto"/>
          <w:sz w:val="24"/>
          <w:highlight w:val="none"/>
          <w:lang w:val="en-US" w:eastAsia="zh-CN"/>
        </w:rPr>
        <w:t xml:space="preserve">运维质量评价指标</w:t>
      </w:r>
      <w:bookmarkEnd w:id="155"/>
      <w:r/>
      <w:bookmarkEnd w:id="156"/>
      <w:r/>
      <w:bookmarkEnd w:id="157"/>
      <w:r/>
      <w:bookmarkEnd w:id="158"/>
      <w:r/>
      <w:r/>
    </w:p>
    <w:p>
      <w:pPr>
        <w:ind w:firstLine="241"/>
        <w:keepLines w:val="0"/>
        <w:keepNext w:val="0"/>
        <w:pageBreakBefore w:val="0"/>
        <w:spacing w:before="120" w:after="120" w:line="400" w:lineRule="atLeast"/>
        <w:widowControl w:val="off"/>
        <w:rPr>
          <w:rFonts w:hint="eastAsia" w:ascii="宋体" w:hAnsi="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bookmarkStart w:id="159" w:name="_Toc205306571"/>
      <w:r/>
      <w:bookmarkStart w:id="160" w:name="_Toc13713"/>
      <w:r>
        <w:rPr>
          <w:rFonts w:hint="eastAsia" w:ascii="宋体" w:hAnsi="宋体" w:cs="宋体"/>
          <w:b/>
          <w:bCs/>
          <w:color w:val="auto"/>
          <w:sz w:val="24"/>
          <w:highlight w:val="none"/>
          <w:lang w:val="en-US" w:eastAsia="zh-CN"/>
        </w:rPr>
        <w:t xml:space="preserve">（一）运维服务质量评价指标</w:t>
      </w:r>
      <w:bookmarkEnd w:id="159"/>
      <w:r/>
      <w:bookmarkEnd w:id="160"/>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1.设备在线率要求</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要求所有维保的设备日均在线率≥90%。</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在线率=在线设备数量÷建设设备数量（不含已经停用的设备）</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2.设备数据采集完好率要求</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要求所有在线的日均设备完好率≥90%。</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设备完好率=完好设备数量÷在线设备数量（不含已经停用的设备）</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3.运维响应及时率要求</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设备发生故障时，运维人员响应及时率≥95%。</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运维响应及时率：运维人员及时到达现场的次数÷故障发生次数</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4.巡检服务完成率要求</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对系统巡检档案应详实、及时、完整。</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5.故障排除时间要求</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当项目设备或系统发生故障时，运维单位应按照故障级别以及修复时间的要求，按时对故障进行修复。</w:t>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6.其他要求</w:t>
      </w:r>
      <w:r/>
    </w:p>
    <w:tbl>
      <w:tblPr>
        <w:tblStyle w:val="1175"/>
        <w:tblW w:w="0" w:type="auto"/>
        <w:tblInd w:w="1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0"/>
        <w:gridCol w:w="7346"/>
      </w:tblGrid>
      <w:tr>
        <w:trPr/>
        <w:tc>
          <w:tcPr>
            <w:tcW w:w="1120" w:type="dxa"/>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序号</w:t>
            </w:r>
            <w:r/>
          </w:p>
        </w:tc>
        <w:tc>
          <w:tcPr>
            <w:tcW w:w="7346" w:type="dxa"/>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考核内容</w:t>
            </w:r>
            <w:r/>
          </w:p>
        </w:tc>
      </w:tr>
      <w:tr>
        <w:trPr/>
        <w:tc>
          <w:tcPr>
            <w:tcW w:w="1120" w:type="dxa"/>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w:t>
            </w:r>
            <w:r/>
          </w:p>
        </w:tc>
        <w:tc>
          <w:tcPr>
            <w:tcW w:w="7346" w:type="dxa"/>
            <w:textDirection w:val="lrTb"/>
            <w:noWrap w:val="false"/>
          </w:tcPr>
          <w:p>
            <w:pPr>
              <w:ind w:firstLine="480"/>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公安信息网三级主干网畅通率100%</w:t>
            </w:r>
            <w:r/>
          </w:p>
        </w:tc>
      </w:tr>
      <w:tr>
        <w:trPr/>
        <w:tc>
          <w:tcPr>
            <w:tcW w:w="1120" w:type="dxa"/>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w:t>
            </w:r>
            <w:r/>
          </w:p>
        </w:tc>
        <w:tc>
          <w:tcPr>
            <w:tcW w:w="7346" w:type="dxa"/>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核心平台服务器存活率100%，如智能交通平台、集成指挥平台等</w:t>
            </w:r>
            <w:r/>
          </w:p>
        </w:tc>
      </w:tr>
      <w:tr>
        <w:trPr/>
        <w:tc>
          <w:tcPr>
            <w:tcW w:w="1120" w:type="dxa"/>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w:t>
            </w:r>
            <w:r/>
          </w:p>
        </w:tc>
        <w:tc>
          <w:tcPr>
            <w:tcW w:w="7346" w:type="dxa"/>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影响业务正常运作的关键性问题修复时间为 24小时</w:t>
            </w:r>
            <w:r/>
          </w:p>
        </w:tc>
      </w:tr>
      <w:tr>
        <w:trPr/>
        <w:tc>
          <w:tcPr>
            <w:tcW w:w="1120" w:type="dxa"/>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w:t>
            </w:r>
            <w:r/>
          </w:p>
        </w:tc>
        <w:tc>
          <w:tcPr>
            <w:tcW w:w="7346" w:type="dxa"/>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不影响业务正常运作的一般性问题修复时间为 48 小时</w:t>
            </w:r>
            <w:r/>
          </w:p>
        </w:tc>
      </w:tr>
      <w:tr>
        <w:trPr/>
        <w:tc>
          <w:tcPr>
            <w:tcW w:w="1120" w:type="dxa"/>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w:t>
            </w:r>
            <w:r/>
          </w:p>
        </w:tc>
        <w:tc>
          <w:tcPr>
            <w:tcW w:w="7346" w:type="dxa"/>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故障处理完毕5个工作日内，运行维护商需提供“故障分析报告”和”故障处理报告”</w:t>
            </w:r>
            <w:r/>
          </w:p>
        </w:tc>
      </w:tr>
      <w:tr>
        <w:trPr/>
        <w:tc>
          <w:tcPr>
            <w:tcW w:w="1120" w:type="dxa"/>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w:t>
            </w:r>
            <w:r/>
          </w:p>
        </w:tc>
        <w:tc>
          <w:tcPr>
            <w:tcW w:w="7346" w:type="dxa"/>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SAN 存储管理，需按照用户实际需要调整所用存储空间、合理分配、提高利用率，汇报存储增长和使用情况</w:t>
            </w:r>
            <w:r/>
          </w:p>
        </w:tc>
      </w:tr>
      <w:tr>
        <w:trPr/>
        <w:tc>
          <w:tcPr>
            <w:tcW w:w="1120" w:type="dxa"/>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7</w:t>
            </w:r>
            <w:r/>
          </w:p>
        </w:tc>
        <w:tc>
          <w:tcPr>
            <w:tcW w:w="7346" w:type="dxa"/>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操作系统维护:centos、麒麟、openeuler、Windows等，按照用户要求在规定时间内重装操作系统、备份操作系统、优化操作系统</w:t>
            </w:r>
            <w:r/>
          </w:p>
        </w:tc>
      </w:tr>
      <w:tr>
        <w:trPr/>
        <w:tc>
          <w:tcPr>
            <w:tcW w:w="1120" w:type="dxa"/>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8</w:t>
            </w:r>
            <w:r/>
          </w:p>
        </w:tc>
        <w:tc>
          <w:tcPr>
            <w:tcW w:w="7346" w:type="dxa"/>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按照用户要求对数据库维护，包括安装oracle，Gbase，人大金仓等数据库健康检查、配合用户启停数据库、定期检查表空间等</w:t>
            </w:r>
            <w:r/>
          </w:p>
        </w:tc>
      </w:tr>
      <w:tr>
        <w:trPr/>
        <w:tc>
          <w:tcPr>
            <w:tcW w:w="1120" w:type="dxa"/>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9</w:t>
            </w:r>
            <w:r/>
          </w:p>
        </w:tc>
        <w:tc>
          <w:tcPr>
            <w:tcW w:w="7346" w:type="dxa"/>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定时机房整理与保洁，管理机房环境，保障机房的电源、空调、冷池、门禁等设备的正常运转</w:t>
            </w:r>
            <w:r/>
          </w:p>
        </w:tc>
      </w:tr>
      <w:tr>
        <w:trPr/>
        <w:tc>
          <w:tcPr>
            <w:tcW w:w="1120" w:type="dxa"/>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10</w:t>
            </w:r>
            <w:r/>
          </w:p>
        </w:tc>
        <w:tc>
          <w:tcPr>
            <w:tcW w:w="7346" w:type="dxa"/>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按需提供一份核心业务系统的运行情况报告，包括故障判断，定位系统瓶颈，应采取的措施，以有效提高系统的性能</w:t>
            </w:r>
            <w:r/>
          </w:p>
        </w:tc>
      </w:tr>
    </w:tbl>
    <w:p>
      <w:pPr>
        <w:ind w:firstLine="482"/>
        <w:keepLines w:val="0"/>
        <w:keepNext w:val="0"/>
        <w:pageBreakBefore w:val="0"/>
        <w:spacing w:before="120" w:after="120" w:line="400" w:lineRule="atLeast"/>
        <w:widowControl w:val="off"/>
        <w:rPr>
          <w:rFonts w:hint="eastAsia" w:ascii="宋体" w:hAnsi="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bookmarkStart w:id="161" w:name="_Toc31840"/>
      <w:r/>
      <w:bookmarkStart w:id="162" w:name="_Toc205306572"/>
      <w:r/>
      <w:bookmarkStart w:id="163" w:name="_Toc87106613"/>
      <w:r>
        <w:rPr>
          <w:rFonts w:hint="eastAsia" w:ascii="宋体" w:hAnsi="宋体" w:cs="宋体"/>
          <w:b/>
          <w:bCs/>
          <w:color w:val="auto"/>
          <w:sz w:val="24"/>
          <w:highlight w:val="none"/>
          <w:lang w:val="en-US" w:eastAsia="zh-CN"/>
        </w:rPr>
        <w:t xml:space="preserve">（二）运维服务考核要求</w:t>
      </w:r>
      <w:bookmarkEnd w:id="161"/>
      <w:r/>
      <w:bookmarkEnd w:id="162"/>
      <w:r/>
      <w:bookmarkEnd w:id="163"/>
      <w:r/>
      <w:r/>
    </w:p>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自项目合同签订之日起，每季度对运维服务单位的运行维护服务进行一次考评。运维服务考核评分表如下：</w:t>
      </w:r>
      <w:r/>
    </w:p>
    <w:tbl>
      <w:tblPr>
        <w:tblStyle w:val="1157"/>
        <w:tblW w:w="50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33"/>
        <w:gridCol w:w="3796"/>
        <w:gridCol w:w="1935"/>
        <w:gridCol w:w="2039"/>
      </w:tblGrid>
      <w:tr>
        <w:trPr>
          <w:jc w:val="center"/>
          <w:trHeight w:val="20"/>
          <w:tblHeader/>
        </w:trPr>
        <w:tc>
          <w:tcPr>
            <w:tcW w:w="1833" w:type="dxa"/>
            <w:vAlign w:val="center"/>
            <w:textDirection w:val="lrTb"/>
            <w:noWrap w:val="false"/>
          </w:tcPr>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考核项</w:t>
            </w:r>
            <w:r/>
          </w:p>
        </w:tc>
        <w:tc>
          <w:tcPr>
            <w:tcW w:w="3796"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考核指标</w:t>
            </w:r>
            <w:r/>
          </w:p>
        </w:tc>
        <w:tc>
          <w:tcPr>
            <w:tcW w:w="1935" w:type="dxa"/>
            <w:vAlign w:val="center"/>
            <w:textDirection w:val="lrTb"/>
            <w:noWrap w:val="false"/>
          </w:tcPr>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分值</w:t>
            </w:r>
            <w:r/>
          </w:p>
        </w:tc>
        <w:tc>
          <w:tcPr>
            <w:tcW w:w="2039" w:type="dxa"/>
            <w:vAlign w:val="center"/>
            <w:textDirection w:val="lrTb"/>
            <w:noWrap w:val="false"/>
          </w:tcPr>
          <w:p>
            <w:pPr>
              <w:ind w:firstLine="480"/>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备注</w:t>
            </w:r>
            <w:r/>
          </w:p>
        </w:tc>
      </w:tr>
      <w:tr>
        <w:trPr>
          <w:jc w:val="center"/>
          <w:trHeight w:val="20"/>
        </w:trPr>
        <w:tc>
          <w:tcPr>
            <w:tcW w:w="1833" w:type="dxa"/>
            <w:vAlign w:val="center"/>
            <w:vMerge w:val="restart"/>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在线率（前端维保）</w:t>
            </w:r>
            <w:r/>
          </w:p>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（15分）</w:t>
            </w:r>
            <w:r/>
          </w:p>
        </w:tc>
        <w:tc>
          <w:tcPr>
            <w:tcW w:w="3796"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在线率≥90%</w:t>
            </w:r>
            <w:r/>
          </w:p>
        </w:tc>
        <w:tc>
          <w:tcPr>
            <w:tcW w:w="1935"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15</w:t>
            </w:r>
            <w:r/>
          </w:p>
        </w:tc>
        <w:tc>
          <w:tcPr>
            <w:tcW w:w="2039" w:type="dxa"/>
            <w:vAlign w:val="center"/>
            <w:vMerge w:val="restart"/>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在线设备数量÷建设设备数量，剔除因基础设施建设、网电故障、不可抗力等因素影响的设备数量。</w:t>
            </w:r>
            <w:r/>
          </w:p>
        </w:tc>
      </w:tr>
      <w:tr>
        <w:trPr>
          <w:jc w:val="center"/>
          <w:trHeight w:val="20"/>
        </w:trPr>
        <w:tc>
          <w:tcPr>
            <w:tcW w:w="1833" w:type="dxa"/>
            <w:vAlign w:val="center"/>
            <w:vMerge w:val="continue"/>
            <w:textDirection w:val="lrTb"/>
            <w:noWrap w:val="false"/>
          </w:tcPr>
          <w:p>
            <w:pPr>
              <w:ind w:firstLine="480"/>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c>
          <w:tcPr>
            <w:tcW w:w="3796"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85%≤在线率＜90%</w:t>
            </w:r>
            <w:r/>
          </w:p>
        </w:tc>
        <w:tc>
          <w:tcPr>
            <w:tcW w:w="1935"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12≤分值＜15</w:t>
            </w:r>
            <w:r/>
          </w:p>
        </w:tc>
        <w:tc>
          <w:tcPr>
            <w:tcW w:w="2039" w:type="dxa"/>
            <w:vAlign w:val="center"/>
            <w:vMerge w:val="continue"/>
            <w:textDirection w:val="lrTb"/>
            <w:noWrap w:val="false"/>
          </w:tcPr>
          <w:p>
            <w:pPr>
              <w:ind w:firstLine="480"/>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r>
      <w:tr>
        <w:trPr>
          <w:jc w:val="center"/>
          <w:trHeight w:val="20"/>
        </w:trPr>
        <w:tc>
          <w:tcPr>
            <w:tcW w:w="1833" w:type="dxa"/>
            <w:vAlign w:val="center"/>
            <w:vMerge w:val="continue"/>
            <w:textDirection w:val="lrTb"/>
            <w:noWrap w:val="false"/>
          </w:tcPr>
          <w:p>
            <w:pPr>
              <w:ind w:firstLine="480"/>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c>
          <w:tcPr>
            <w:tcW w:w="3796"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0%≤在线率＜85%</w:t>
            </w:r>
            <w:r/>
          </w:p>
        </w:tc>
        <w:tc>
          <w:tcPr>
            <w:tcW w:w="1935"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8≤分值＜12</w:t>
            </w:r>
            <w:r/>
          </w:p>
        </w:tc>
        <w:tc>
          <w:tcPr>
            <w:tcW w:w="2039" w:type="dxa"/>
            <w:vAlign w:val="center"/>
            <w:vMerge w:val="continue"/>
            <w:textDirection w:val="lrTb"/>
            <w:noWrap w:val="false"/>
          </w:tcPr>
          <w:p>
            <w:pPr>
              <w:ind w:firstLine="480"/>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r>
      <w:tr>
        <w:trPr>
          <w:jc w:val="center"/>
          <w:trHeight w:val="20"/>
        </w:trPr>
        <w:tc>
          <w:tcPr>
            <w:tcW w:w="1833" w:type="dxa"/>
            <w:vAlign w:val="center"/>
            <w:vMerge w:val="continue"/>
            <w:textDirection w:val="lrTb"/>
            <w:noWrap w:val="false"/>
          </w:tcPr>
          <w:p>
            <w:pPr>
              <w:ind w:firstLine="480"/>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c>
          <w:tcPr>
            <w:tcW w:w="3796"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在线率＜80%</w:t>
            </w:r>
            <w:r/>
          </w:p>
        </w:tc>
        <w:tc>
          <w:tcPr>
            <w:tcW w:w="1935"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0≤分值＜8</w:t>
            </w:r>
            <w:r/>
          </w:p>
        </w:tc>
        <w:tc>
          <w:tcPr>
            <w:tcW w:w="2039" w:type="dxa"/>
            <w:vAlign w:val="center"/>
            <w:vMerge w:val="continue"/>
            <w:textDirection w:val="lrTb"/>
            <w:noWrap w:val="false"/>
          </w:tcPr>
          <w:p>
            <w:pPr>
              <w:ind w:firstLine="480"/>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r>
      <w:tr>
        <w:trPr>
          <w:jc w:val="center"/>
          <w:trHeight w:val="20"/>
        </w:trPr>
        <w:tc>
          <w:tcPr>
            <w:tcW w:w="1833" w:type="dxa"/>
            <w:vAlign w:val="center"/>
            <w:vMerge w:val="restart"/>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完好率（前端维保）</w:t>
            </w:r>
            <w:r/>
          </w:p>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（15分）</w:t>
            </w:r>
            <w:r/>
          </w:p>
        </w:tc>
        <w:tc>
          <w:tcPr>
            <w:tcW w:w="3796"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在线设备完好率≥90%</w:t>
            </w:r>
            <w:r/>
          </w:p>
        </w:tc>
        <w:tc>
          <w:tcPr>
            <w:tcW w:w="1935"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15</w:t>
            </w:r>
            <w:r/>
          </w:p>
        </w:tc>
        <w:tc>
          <w:tcPr>
            <w:tcW w:w="2039" w:type="dxa"/>
            <w:vAlign w:val="center"/>
            <w:vMerge w:val="restart"/>
            <w:textDirection w:val="lrTb"/>
            <w:noWrap w:val="false"/>
          </w:tcPr>
          <w:p>
            <w:pPr>
              <w:jc w:val="both"/>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完好设备数量÷在线设备数量，包含图像完好率、抓拍图片质量等</w:t>
            </w:r>
            <w:r/>
          </w:p>
        </w:tc>
      </w:tr>
      <w:tr>
        <w:trPr>
          <w:jc w:val="center"/>
          <w:trHeight w:val="20"/>
        </w:trPr>
        <w:tc>
          <w:tcPr>
            <w:tcW w:w="1833" w:type="dxa"/>
            <w:vAlign w:val="center"/>
            <w:vMerge w:val="continue"/>
            <w:textDirection w:val="lrTb"/>
            <w:noWrap w:val="false"/>
          </w:tcPr>
          <w:p>
            <w:pPr>
              <w:ind w:firstLine="480"/>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c>
          <w:tcPr>
            <w:tcW w:w="3796"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85%≤在线设备完好率＜90%</w:t>
            </w:r>
            <w:r/>
          </w:p>
        </w:tc>
        <w:tc>
          <w:tcPr>
            <w:tcW w:w="1935"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12≤分值＜15</w:t>
            </w:r>
            <w:r/>
          </w:p>
        </w:tc>
        <w:tc>
          <w:tcPr>
            <w:tcW w:w="2039" w:type="dxa"/>
            <w:vAlign w:val="center"/>
            <w:vMerge w:val="continue"/>
            <w:textDirection w:val="lrTb"/>
            <w:noWrap w:val="false"/>
          </w:tcPr>
          <w:p>
            <w:pPr>
              <w:ind w:firstLine="480"/>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r>
      <w:tr>
        <w:trPr>
          <w:jc w:val="center"/>
          <w:trHeight w:val="20"/>
        </w:trPr>
        <w:tc>
          <w:tcPr>
            <w:tcW w:w="1833" w:type="dxa"/>
            <w:vAlign w:val="center"/>
            <w:vMerge w:val="continue"/>
            <w:textDirection w:val="lrTb"/>
            <w:noWrap w:val="false"/>
          </w:tcPr>
          <w:p>
            <w:pPr>
              <w:ind w:firstLine="480"/>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c>
          <w:tcPr>
            <w:tcW w:w="3796"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80%≤在线设备完好率＜85%</w:t>
            </w:r>
            <w:r/>
          </w:p>
        </w:tc>
        <w:tc>
          <w:tcPr>
            <w:tcW w:w="1935"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8≤分值＜12</w:t>
            </w:r>
            <w:r/>
          </w:p>
        </w:tc>
        <w:tc>
          <w:tcPr>
            <w:tcW w:w="2039" w:type="dxa"/>
            <w:vAlign w:val="center"/>
            <w:vMerge w:val="continue"/>
            <w:textDirection w:val="lrTb"/>
            <w:noWrap w:val="false"/>
          </w:tcPr>
          <w:p>
            <w:pPr>
              <w:ind w:firstLine="480"/>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r>
      <w:tr>
        <w:trPr>
          <w:jc w:val="center"/>
          <w:trHeight w:val="20"/>
        </w:trPr>
        <w:tc>
          <w:tcPr>
            <w:tcW w:w="1833" w:type="dxa"/>
            <w:vAlign w:val="center"/>
            <w:vMerge w:val="continue"/>
            <w:textDirection w:val="lrTb"/>
            <w:noWrap w:val="false"/>
          </w:tcPr>
          <w:p>
            <w:pPr>
              <w:ind w:firstLine="480"/>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c>
          <w:tcPr>
            <w:tcW w:w="3796"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在线设备完好率＜80%</w:t>
            </w:r>
            <w:r/>
          </w:p>
        </w:tc>
        <w:tc>
          <w:tcPr>
            <w:tcW w:w="1935"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0≤分值＜8</w:t>
            </w:r>
            <w:r/>
          </w:p>
        </w:tc>
        <w:tc>
          <w:tcPr>
            <w:tcW w:w="2039" w:type="dxa"/>
            <w:vAlign w:val="center"/>
            <w:vMerge w:val="continue"/>
            <w:textDirection w:val="lrTb"/>
            <w:noWrap w:val="false"/>
          </w:tcPr>
          <w:p>
            <w:pPr>
              <w:ind w:firstLine="480"/>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r>
      <w:tr>
        <w:trPr>
          <w:jc w:val="center"/>
          <w:trHeight w:val="20"/>
        </w:trPr>
        <w:tc>
          <w:tcPr>
            <w:tcW w:w="1833" w:type="dxa"/>
            <w:vAlign w:val="center"/>
            <w:vMerge w:val="restart"/>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运维响应及时率（前端维保）</w:t>
            </w:r>
            <w:r/>
          </w:p>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（15分）</w:t>
            </w:r>
            <w:r/>
          </w:p>
        </w:tc>
        <w:tc>
          <w:tcPr>
            <w:tcW w:w="3796"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工作运维响应及时率≥95%</w:t>
            </w:r>
            <w:r/>
          </w:p>
        </w:tc>
        <w:tc>
          <w:tcPr>
            <w:tcW w:w="1935"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15</w:t>
            </w:r>
            <w:r/>
          </w:p>
        </w:tc>
        <w:tc>
          <w:tcPr>
            <w:tcW w:w="2039" w:type="dxa"/>
            <w:vAlign w:val="center"/>
            <w:vMerge w:val="restart"/>
            <w:textDirection w:val="lrTb"/>
            <w:noWrap w:val="false"/>
          </w:tcPr>
          <w:p>
            <w:pPr>
              <w:jc w:val="both"/>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按照故障级别定义与服务的技术人员到场时间为基准</w:t>
            </w:r>
            <w:r/>
          </w:p>
        </w:tc>
      </w:tr>
      <w:tr>
        <w:trPr>
          <w:jc w:val="center"/>
          <w:trHeight w:val="20"/>
        </w:trPr>
        <w:tc>
          <w:tcPr>
            <w:tcW w:w="1833" w:type="dxa"/>
            <w:vAlign w:val="center"/>
            <w:vMerge w:val="continue"/>
            <w:textDirection w:val="lrTb"/>
            <w:noWrap w:val="false"/>
          </w:tcPr>
          <w:p>
            <w:pPr>
              <w:ind w:firstLine="480"/>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c>
          <w:tcPr>
            <w:tcW w:w="3796"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90%≤运维响应及时率＜95%</w:t>
            </w:r>
            <w:r/>
          </w:p>
        </w:tc>
        <w:tc>
          <w:tcPr>
            <w:tcW w:w="1935"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12≤分值＜15</w:t>
            </w:r>
            <w:r/>
          </w:p>
        </w:tc>
        <w:tc>
          <w:tcPr>
            <w:tcW w:w="2039" w:type="dxa"/>
            <w:vAlign w:val="center"/>
            <w:vMerge w:val="continue"/>
            <w:textDirection w:val="lrTb"/>
            <w:noWrap w:val="false"/>
          </w:tcPr>
          <w:p>
            <w:pPr>
              <w:ind w:firstLine="480"/>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r>
      <w:tr>
        <w:trPr>
          <w:jc w:val="center"/>
          <w:trHeight w:val="20"/>
        </w:trPr>
        <w:tc>
          <w:tcPr>
            <w:tcW w:w="1833" w:type="dxa"/>
            <w:vAlign w:val="center"/>
            <w:vMerge w:val="continue"/>
            <w:textDirection w:val="lrTb"/>
            <w:noWrap w:val="false"/>
          </w:tcPr>
          <w:p>
            <w:pPr>
              <w:ind w:firstLine="480"/>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c>
          <w:tcPr>
            <w:tcW w:w="3796"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85%≤运维响应及时率＜90%</w:t>
            </w:r>
            <w:r/>
          </w:p>
        </w:tc>
        <w:tc>
          <w:tcPr>
            <w:tcW w:w="1935"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8≤分值＜12</w:t>
            </w:r>
            <w:r/>
          </w:p>
        </w:tc>
        <w:tc>
          <w:tcPr>
            <w:tcW w:w="2039" w:type="dxa"/>
            <w:vAlign w:val="center"/>
            <w:vMerge w:val="continue"/>
            <w:textDirection w:val="lrTb"/>
            <w:noWrap w:val="false"/>
          </w:tcPr>
          <w:p>
            <w:pPr>
              <w:ind w:firstLine="480"/>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r>
      <w:tr>
        <w:trPr>
          <w:jc w:val="center"/>
          <w:trHeight w:val="20"/>
        </w:trPr>
        <w:tc>
          <w:tcPr>
            <w:tcW w:w="1833" w:type="dxa"/>
            <w:vAlign w:val="center"/>
            <w:vMerge w:val="continue"/>
            <w:textDirection w:val="lrTb"/>
            <w:noWrap w:val="false"/>
          </w:tcPr>
          <w:p>
            <w:pPr>
              <w:ind w:firstLine="480"/>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c>
          <w:tcPr>
            <w:tcW w:w="3796"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运维响应及时率＜85%</w:t>
            </w:r>
            <w:r/>
          </w:p>
        </w:tc>
        <w:tc>
          <w:tcPr>
            <w:tcW w:w="1935"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0≤分值＜8</w:t>
            </w:r>
            <w:r/>
          </w:p>
        </w:tc>
        <w:tc>
          <w:tcPr>
            <w:tcW w:w="2039" w:type="dxa"/>
            <w:vAlign w:val="center"/>
            <w:vMerge w:val="continue"/>
            <w:textDirection w:val="lrTb"/>
            <w:noWrap w:val="false"/>
          </w:tcPr>
          <w:p>
            <w:pPr>
              <w:ind w:firstLine="480"/>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r>
      <w:tr>
        <w:trPr>
          <w:jc w:val="center"/>
          <w:trHeight w:val="20"/>
        </w:trPr>
        <w:tc>
          <w:tcPr>
            <w:tcW w:w="1833" w:type="dxa"/>
            <w:vAlign w:val="center"/>
            <w:vMerge w:val="restart"/>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故障处置</w:t>
            </w:r>
            <w:r/>
          </w:p>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（15分）</w:t>
            </w:r>
            <w:r/>
          </w:p>
        </w:tc>
        <w:tc>
          <w:tcPr>
            <w:tcW w:w="3796"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故障的及时处置率≥95%</w:t>
            </w:r>
            <w:r/>
          </w:p>
        </w:tc>
        <w:tc>
          <w:tcPr>
            <w:tcW w:w="1935"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15</w:t>
            </w:r>
            <w:r/>
          </w:p>
        </w:tc>
        <w:tc>
          <w:tcPr>
            <w:tcW w:w="2039" w:type="dxa"/>
            <w:vAlign w:val="center"/>
            <w:vMerge w:val="restart"/>
            <w:textDirection w:val="lrTb"/>
            <w:noWrap w:val="false"/>
          </w:tcPr>
          <w:p>
            <w:pPr>
              <w:jc w:val="both"/>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按照故障级别定义与服务的问题解决时间为基准</w:t>
            </w:r>
            <w:r/>
          </w:p>
        </w:tc>
      </w:tr>
      <w:tr>
        <w:trPr>
          <w:jc w:val="center"/>
          <w:trHeight w:val="20"/>
        </w:trPr>
        <w:tc>
          <w:tcPr>
            <w:tcW w:w="1833" w:type="dxa"/>
            <w:vAlign w:val="center"/>
            <w:vMerge w:val="continue"/>
            <w:textDirection w:val="lrTb"/>
            <w:noWrap w:val="false"/>
          </w:tcPr>
          <w:p>
            <w:pPr>
              <w:ind w:firstLine="480"/>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c>
          <w:tcPr>
            <w:tcW w:w="3796"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90%≤故障的及时处置率＜95%</w:t>
            </w:r>
            <w:r/>
          </w:p>
        </w:tc>
        <w:tc>
          <w:tcPr>
            <w:tcW w:w="1935"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12≤分值＜15</w:t>
            </w:r>
            <w:r/>
          </w:p>
        </w:tc>
        <w:tc>
          <w:tcPr>
            <w:tcW w:w="2039" w:type="dxa"/>
            <w:vAlign w:val="center"/>
            <w:vMerge w:val="continue"/>
            <w:textDirection w:val="lrTb"/>
            <w:noWrap w:val="false"/>
          </w:tcPr>
          <w:p>
            <w:pPr>
              <w:ind w:firstLine="480"/>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r>
      <w:tr>
        <w:trPr>
          <w:jc w:val="center"/>
          <w:trHeight w:val="20"/>
        </w:trPr>
        <w:tc>
          <w:tcPr>
            <w:tcW w:w="1833" w:type="dxa"/>
            <w:vAlign w:val="center"/>
            <w:vMerge w:val="continue"/>
            <w:textDirection w:val="lrTb"/>
            <w:noWrap w:val="false"/>
          </w:tcPr>
          <w:p>
            <w:pPr>
              <w:ind w:firstLine="480"/>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c>
          <w:tcPr>
            <w:tcW w:w="3796"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85%≤故障的及时处置率＜90%</w:t>
            </w:r>
            <w:r/>
          </w:p>
        </w:tc>
        <w:tc>
          <w:tcPr>
            <w:tcW w:w="1935"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8≤分值＜12</w:t>
            </w:r>
            <w:r/>
          </w:p>
        </w:tc>
        <w:tc>
          <w:tcPr>
            <w:tcW w:w="2039" w:type="dxa"/>
            <w:vAlign w:val="center"/>
            <w:vMerge w:val="continue"/>
            <w:textDirection w:val="lrTb"/>
            <w:noWrap w:val="false"/>
          </w:tcPr>
          <w:p>
            <w:pPr>
              <w:ind w:firstLine="480"/>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r>
      <w:tr>
        <w:trPr>
          <w:jc w:val="center"/>
          <w:trHeight w:val="20"/>
        </w:trPr>
        <w:tc>
          <w:tcPr>
            <w:tcW w:w="1833" w:type="dxa"/>
            <w:vAlign w:val="center"/>
            <w:vMerge w:val="continue"/>
            <w:textDirection w:val="lrTb"/>
            <w:noWrap w:val="false"/>
          </w:tcPr>
          <w:p>
            <w:pPr>
              <w:ind w:firstLine="480"/>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c>
          <w:tcPr>
            <w:tcW w:w="3796" w:type="dxa"/>
            <w:vAlign w:val="center"/>
            <w:textDirection w:val="lrTb"/>
            <w:noWrap w:val="false"/>
          </w:tcPr>
          <w:p>
            <w:pPr>
              <w:ind w:firstLine="480"/>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故障的及时处置率＜85%</w:t>
            </w:r>
            <w:r/>
          </w:p>
        </w:tc>
        <w:tc>
          <w:tcPr>
            <w:tcW w:w="1935"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0≤分值＜8</w:t>
            </w:r>
            <w:r/>
          </w:p>
        </w:tc>
        <w:tc>
          <w:tcPr>
            <w:tcW w:w="2039" w:type="dxa"/>
            <w:vAlign w:val="center"/>
            <w:vMerge w:val="continue"/>
            <w:textDirection w:val="lrTb"/>
            <w:noWrap w:val="false"/>
          </w:tcPr>
          <w:p>
            <w:pPr>
              <w:ind w:firstLine="480"/>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r>
      <w:tr>
        <w:trPr>
          <w:jc w:val="center"/>
          <w:trHeight w:val="20"/>
        </w:trPr>
        <w:tc>
          <w:tcPr>
            <w:tcW w:w="1833"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故障发生频率（15分）</w:t>
            </w:r>
            <w:r/>
          </w:p>
        </w:tc>
        <w:tc>
          <w:tcPr>
            <w:tcW w:w="3796"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由于未及时巡检，导致出现Ⅲ级或Ⅳ级故障，扣0.5分/次。</w:t>
            </w:r>
            <w:r/>
          </w:p>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由于未及时巡检，导致出现Ⅰ级或Ⅱ级故障，扣1分/次。</w:t>
            </w:r>
            <w:r/>
          </w:p>
        </w:tc>
        <w:tc>
          <w:tcPr>
            <w:tcW w:w="1935"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15</w:t>
            </w:r>
            <w:r/>
          </w:p>
        </w:tc>
        <w:tc>
          <w:tcPr>
            <w:tcW w:w="2039" w:type="dxa"/>
            <w:vAlign w:val="center"/>
            <w:textDirection w:val="lrTb"/>
            <w:noWrap w:val="false"/>
          </w:tcPr>
          <w:p>
            <w:pPr>
              <w:jc w:val="both"/>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按照故障级别定义划分</w:t>
            </w:r>
            <w:r/>
          </w:p>
        </w:tc>
      </w:tr>
      <w:tr>
        <w:trPr>
          <w:jc w:val="center"/>
          <w:trHeight w:val="20"/>
        </w:trPr>
        <w:tc>
          <w:tcPr>
            <w:tcW w:w="1833" w:type="dxa"/>
            <w:vAlign w:val="center"/>
            <w:vMerge w:val="restart"/>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巡检服务完成率（10分）</w:t>
            </w:r>
            <w:r/>
          </w:p>
        </w:tc>
        <w:tc>
          <w:tcPr>
            <w:tcW w:w="3796"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巡检服务完成率100%</w:t>
            </w:r>
            <w:r/>
          </w:p>
        </w:tc>
        <w:tc>
          <w:tcPr>
            <w:tcW w:w="1935"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10</w:t>
            </w:r>
            <w:r/>
          </w:p>
        </w:tc>
        <w:tc>
          <w:tcPr>
            <w:tcW w:w="2039" w:type="dxa"/>
            <w:vAlign w:val="center"/>
            <w:vMerge w:val="restart"/>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每季度汇总一次考核结果。</w:t>
            </w:r>
            <w:r/>
          </w:p>
        </w:tc>
      </w:tr>
      <w:tr>
        <w:trPr>
          <w:jc w:val="center"/>
          <w:trHeight w:val="20"/>
        </w:trPr>
        <w:tc>
          <w:tcPr>
            <w:tcW w:w="1833" w:type="dxa"/>
            <w:vAlign w:val="center"/>
            <w:vMerge w:val="continue"/>
            <w:textDirection w:val="lrTb"/>
            <w:noWrap w:val="false"/>
          </w:tcPr>
          <w:p>
            <w:pPr>
              <w:ind w:firstLine="480"/>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c>
          <w:tcPr>
            <w:tcW w:w="3796"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95%≤巡检服务完成率＜100%</w:t>
            </w:r>
            <w:r/>
          </w:p>
        </w:tc>
        <w:tc>
          <w:tcPr>
            <w:tcW w:w="1935"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w:t>
            </w:r>
            <w:r/>
          </w:p>
        </w:tc>
        <w:tc>
          <w:tcPr>
            <w:tcW w:w="2039" w:type="dxa"/>
            <w:vAlign w:val="center"/>
            <w:vMerge w:val="continue"/>
            <w:textDirection w:val="lrTb"/>
            <w:noWrap w:val="false"/>
          </w:tcPr>
          <w:p>
            <w:pPr>
              <w:ind w:firstLine="480"/>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r>
      <w:tr>
        <w:trPr>
          <w:jc w:val="center"/>
          <w:trHeight w:val="20"/>
        </w:trPr>
        <w:tc>
          <w:tcPr>
            <w:tcW w:w="1833" w:type="dxa"/>
            <w:vAlign w:val="center"/>
            <w:vMerge w:val="continue"/>
            <w:textDirection w:val="lrTb"/>
            <w:noWrap w:val="false"/>
          </w:tcPr>
          <w:p>
            <w:pPr>
              <w:ind w:firstLine="480"/>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c>
          <w:tcPr>
            <w:tcW w:w="3796"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定期巡检服务＜95%</w:t>
            </w:r>
            <w:r/>
          </w:p>
        </w:tc>
        <w:tc>
          <w:tcPr>
            <w:tcW w:w="1935"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0</w:t>
            </w:r>
            <w:r/>
          </w:p>
        </w:tc>
        <w:tc>
          <w:tcPr>
            <w:tcW w:w="2039" w:type="dxa"/>
            <w:vAlign w:val="center"/>
            <w:vMerge w:val="continue"/>
            <w:textDirection w:val="lrTb"/>
            <w:noWrap w:val="false"/>
          </w:tcPr>
          <w:p>
            <w:pPr>
              <w:ind w:firstLine="480"/>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r>
      <w:tr>
        <w:trPr>
          <w:jc w:val="center"/>
          <w:trHeight w:val="20"/>
        </w:trPr>
        <w:tc>
          <w:tcPr>
            <w:tcW w:w="1833"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人员考勤</w:t>
            </w:r>
            <w:r/>
          </w:p>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（5分）</w:t>
            </w:r>
            <w:r/>
          </w:p>
        </w:tc>
        <w:tc>
          <w:tcPr>
            <w:tcW w:w="3796"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按考勤制度进行考评，无故缺勤、脱岗每次扣减0.5分。</w:t>
            </w:r>
            <w:r/>
          </w:p>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未向用户申请，擅自进行人员调整、变动，每人/次扣减1分。</w:t>
            </w:r>
            <w:r/>
          </w:p>
        </w:tc>
        <w:tc>
          <w:tcPr>
            <w:tcW w:w="1935"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w:t>
            </w:r>
            <w:r/>
          </w:p>
        </w:tc>
        <w:tc>
          <w:tcPr>
            <w:tcW w:w="2039"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每季度汇总一次考核结果。</w:t>
            </w:r>
            <w:r/>
          </w:p>
        </w:tc>
      </w:tr>
      <w:tr>
        <w:trPr>
          <w:jc w:val="center"/>
          <w:trHeight w:val="20"/>
        </w:trPr>
        <w:tc>
          <w:tcPr>
            <w:tcW w:w="1833"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安全管理</w:t>
            </w:r>
            <w:r/>
          </w:p>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（5分）</w:t>
            </w:r>
            <w:r/>
          </w:p>
        </w:tc>
        <w:tc>
          <w:tcPr>
            <w:tcW w:w="3796"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未按照安全事件管理要求，根据安全事件的后果，每次扣1-3分。</w:t>
            </w:r>
            <w:r/>
          </w:p>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由于运维单位原因，导致重大安全事故的直接扣5分。</w:t>
            </w:r>
            <w:r/>
          </w:p>
        </w:tc>
        <w:tc>
          <w:tcPr>
            <w:tcW w:w="1935"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w:t>
            </w:r>
            <w:r/>
          </w:p>
        </w:tc>
        <w:tc>
          <w:tcPr>
            <w:tcW w:w="2039"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每季度汇总一次考核结果。</w:t>
            </w:r>
            <w:r/>
          </w:p>
        </w:tc>
      </w:tr>
      <w:tr>
        <w:trPr>
          <w:jc w:val="center"/>
          <w:trHeight w:val="20"/>
        </w:trPr>
        <w:tc>
          <w:tcPr>
            <w:tcW w:w="1833"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资料管理</w:t>
            </w:r>
            <w:r/>
          </w:p>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（5分）</w:t>
            </w:r>
            <w:r/>
          </w:p>
        </w:tc>
        <w:tc>
          <w:tcPr>
            <w:tcW w:w="3796"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按时提交故障处理报告，周报、月度巡检报告、季报等。未及时提交运维资料，每次扣0.5分。</w:t>
            </w:r>
            <w:r/>
          </w:p>
        </w:tc>
        <w:tc>
          <w:tcPr>
            <w:tcW w:w="1935"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w:t>
            </w:r>
            <w:r/>
          </w:p>
        </w:tc>
        <w:tc>
          <w:tcPr>
            <w:tcW w:w="2039"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根据运维资料提交情况，每季度汇总一次考核结果。</w:t>
            </w:r>
            <w:r/>
          </w:p>
        </w:tc>
      </w:tr>
      <w:tr>
        <w:trPr>
          <w:jc w:val="center"/>
          <w:trHeight w:val="20"/>
        </w:trPr>
        <w:tc>
          <w:tcPr>
            <w:gridSpan w:val="4"/>
            <w:tcW w:w="9603" w:type="dxa"/>
            <w:vAlign w:val="center"/>
            <w:textDirection w:val="lrTb"/>
            <w:noWrap w:val="false"/>
          </w:tcPr>
          <w:p>
            <w:pP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考核约束条件</w:t>
            </w:r>
            <w:r/>
          </w:p>
        </w:tc>
      </w:tr>
      <w:tr>
        <w:trPr>
          <w:jc w:val="center"/>
          <w:trHeight w:val="20"/>
        </w:trPr>
        <w:tc>
          <w:tcPr>
            <w:gridSpan w:val="4"/>
            <w:tcW w:w="9603" w:type="dxa"/>
            <w:vAlign w:val="center"/>
            <w:textDirection w:val="lrTb"/>
            <w:noWrap w:val="false"/>
          </w:tcPr>
          <w:p>
            <w:pP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1.因市电停电、网络链路、城市基础设施建设、机房环境异常（含供电）导致设备无法正常运行的情况不纳入考核；</w:t>
            </w:r>
            <w:r/>
          </w:p>
          <w:p>
            <w:pP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2.因不可抗力因素造成系统无法正常运行不纳入考核范围。</w:t>
            </w:r>
            <w:r/>
          </w:p>
        </w:tc>
      </w:tr>
    </w:tbl>
    <w:p>
      <w:pP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针对上文中的其他要求的考核标准：</w:t>
      </w:r>
      <w:r/>
    </w:p>
    <w:tbl>
      <w:tblPr>
        <w:tblStyle w:val="1157"/>
        <w:tblW w:w="9173" w:type="dxa"/>
        <w:tblInd w:w="93" w:type="dxa"/>
        <w:tblLayout w:type="fixed"/>
        <w:tblCellMar>
          <w:left w:w="108" w:type="dxa"/>
          <w:top w:w="0" w:type="dxa"/>
          <w:right w:w="108" w:type="dxa"/>
          <w:bottom w:w="0" w:type="dxa"/>
        </w:tblCellMar>
        <w:tblLook w:val="04A0" w:firstRow="1" w:lastRow="0" w:firstColumn="1" w:lastColumn="0" w:noHBand="0" w:noVBand="1"/>
      </w:tblPr>
      <w:tblGrid>
        <w:gridCol w:w="854"/>
        <w:gridCol w:w="6786"/>
        <w:gridCol w:w="1533"/>
      </w:tblGrid>
      <w:tr>
        <w:trPr>
          <w:trHeight w:val="270"/>
        </w:trPr>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序号</w:t>
            </w:r>
            <w:r/>
          </w:p>
        </w:tc>
        <w:tc>
          <w:tcPr>
            <w:tcBorders>
              <w:top w:val="single" w:color="auto" w:sz="4" w:space="0"/>
              <w:left w:val="none" w:color="000000" w:sz="4" w:space="0"/>
              <w:bottom w:val="single" w:color="auto" w:sz="4" w:space="0"/>
              <w:right w:val="single" w:color="auto" w:sz="4" w:space="0"/>
            </w:tcBorders>
            <w:tcW w:w="6786"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罚款内容</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罚款金额</w:t>
            </w:r>
            <w:r/>
          </w:p>
        </w:tc>
      </w:tr>
      <w:tr>
        <w:trPr>
          <w:trHeight w:val="270"/>
        </w:trPr>
        <w:tc>
          <w:tcPr>
            <w:tcBorders>
              <w:top w:val="none" w:color="000000" w:sz="4" w:space="0"/>
              <w:left w:val="single" w:color="auto" w:sz="4" w:space="0"/>
              <w:bottom w:val="single" w:color="auto" w:sz="4" w:space="0"/>
              <w:right w:val="single" w:color="auto" w:sz="4" w:space="0"/>
            </w:tcBorders>
            <w:tcW w:w="854"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w:t>
            </w:r>
            <w:r/>
          </w:p>
        </w:tc>
        <w:tc>
          <w:tcPr>
            <w:tcBorders>
              <w:top w:val="none" w:color="000000" w:sz="4" w:space="0"/>
              <w:left w:val="none" w:color="000000" w:sz="4" w:space="0"/>
              <w:bottom w:val="single" w:color="auto" w:sz="4" w:space="0"/>
              <w:right w:val="single" w:color="auto" w:sz="4" w:space="0"/>
            </w:tcBorders>
            <w:tcW w:w="6786"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公安信息网二、三级主干网畅通率低于100%，每低一个百分点扣500；</w:t>
            </w:r>
            <w:r/>
          </w:p>
        </w:tc>
        <w:tc>
          <w:tcPr>
            <w:tcBorders>
              <w:top w:val="none" w:color="000000" w:sz="4" w:space="0"/>
              <w:left w:val="none" w:color="000000" w:sz="4" w:space="0"/>
              <w:bottom w:val="single" w:color="auto" w:sz="4" w:space="0"/>
              <w:right w:val="single" w:color="auto" w:sz="4" w:space="0"/>
            </w:tcBorders>
            <w:tcW w:w="1533"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500元/百分点</w:t>
            </w:r>
            <w:r/>
          </w:p>
        </w:tc>
      </w:tr>
      <w:tr>
        <w:trPr>
          <w:trHeight w:val="270"/>
        </w:trPr>
        <w:tc>
          <w:tcPr>
            <w:tcBorders>
              <w:top w:val="none" w:color="000000" w:sz="4" w:space="0"/>
              <w:left w:val="single" w:color="auto" w:sz="4" w:space="0"/>
              <w:bottom w:val="single" w:color="auto" w:sz="4" w:space="0"/>
              <w:right w:val="single" w:color="auto" w:sz="4" w:space="0"/>
            </w:tcBorders>
            <w:tcW w:w="854"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w:t>
            </w:r>
            <w:r/>
          </w:p>
        </w:tc>
        <w:tc>
          <w:tcPr>
            <w:tcBorders>
              <w:top w:val="none" w:color="000000" w:sz="4" w:space="0"/>
              <w:left w:val="none" w:color="000000" w:sz="4" w:space="0"/>
              <w:bottom w:val="single" w:color="auto" w:sz="4" w:space="0"/>
              <w:right w:val="single" w:color="auto" w:sz="4" w:space="0"/>
            </w:tcBorders>
            <w:tcW w:w="6786"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核心平台服务器存活率低于100%，每低一个百分点扣500；</w:t>
            </w:r>
            <w:r/>
          </w:p>
        </w:tc>
        <w:tc>
          <w:tcPr>
            <w:tcBorders>
              <w:top w:val="none" w:color="000000" w:sz="4" w:space="0"/>
              <w:left w:val="none" w:color="000000" w:sz="4" w:space="0"/>
              <w:bottom w:val="single" w:color="auto" w:sz="4" w:space="0"/>
              <w:right w:val="single" w:color="auto" w:sz="4" w:space="0"/>
            </w:tcBorders>
            <w:tcW w:w="1533"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500元/百分点</w:t>
            </w:r>
            <w:r/>
          </w:p>
        </w:tc>
      </w:tr>
      <w:tr>
        <w:trPr>
          <w:trHeight w:val="270"/>
        </w:trPr>
        <w:tc>
          <w:tcPr>
            <w:tcBorders>
              <w:top w:val="none" w:color="000000" w:sz="4" w:space="0"/>
              <w:left w:val="single" w:color="auto" w:sz="4" w:space="0"/>
              <w:bottom w:val="single" w:color="auto" w:sz="4" w:space="0"/>
              <w:right w:val="single" w:color="auto" w:sz="4" w:space="0"/>
            </w:tcBorders>
            <w:tcW w:w="854"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w:t>
            </w:r>
            <w:r/>
          </w:p>
        </w:tc>
        <w:tc>
          <w:tcPr>
            <w:tcBorders>
              <w:top w:val="none" w:color="000000" w:sz="4" w:space="0"/>
              <w:left w:val="none" w:color="000000" w:sz="4" w:space="0"/>
              <w:bottom w:val="single" w:color="auto" w:sz="4" w:space="0"/>
              <w:right w:val="single" w:color="auto" w:sz="4" w:space="0"/>
            </w:tcBorders>
            <w:tcW w:w="6786"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影响业务正常运作的关键性问题修复时间超出24小时；</w:t>
            </w:r>
            <w:r/>
          </w:p>
        </w:tc>
        <w:tc>
          <w:tcPr>
            <w:tcBorders>
              <w:top w:val="none" w:color="000000" w:sz="4" w:space="0"/>
              <w:left w:val="none" w:color="000000" w:sz="4" w:space="0"/>
              <w:bottom w:val="single" w:color="auto" w:sz="4" w:space="0"/>
              <w:right w:val="single" w:color="auto" w:sz="4" w:space="0"/>
            </w:tcBorders>
            <w:tcW w:w="1533"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5000元/次</w:t>
            </w:r>
            <w:r/>
          </w:p>
        </w:tc>
      </w:tr>
      <w:tr>
        <w:trPr>
          <w:trHeight w:val="270"/>
        </w:trPr>
        <w:tc>
          <w:tcPr>
            <w:tcBorders>
              <w:top w:val="none" w:color="000000" w:sz="4" w:space="0"/>
              <w:left w:val="single" w:color="auto" w:sz="4" w:space="0"/>
              <w:bottom w:val="single" w:color="auto" w:sz="4" w:space="0"/>
              <w:right w:val="single" w:color="auto" w:sz="4" w:space="0"/>
            </w:tcBorders>
            <w:tcW w:w="854"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w:t>
            </w:r>
            <w:r/>
          </w:p>
        </w:tc>
        <w:tc>
          <w:tcPr>
            <w:tcBorders>
              <w:top w:val="none" w:color="000000" w:sz="4" w:space="0"/>
              <w:left w:val="none" w:color="000000" w:sz="4" w:space="0"/>
              <w:bottom w:val="single" w:color="auto" w:sz="4" w:space="0"/>
              <w:right w:val="single" w:color="auto" w:sz="4" w:space="0"/>
            </w:tcBorders>
            <w:tcW w:w="6786"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不影响业务正常运作的一般性问题修复时间超出48小时；</w:t>
            </w:r>
            <w:r/>
          </w:p>
        </w:tc>
        <w:tc>
          <w:tcPr>
            <w:tcBorders>
              <w:top w:val="none" w:color="000000" w:sz="4" w:space="0"/>
              <w:left w:val="none" w:color="000000" w:sz="4" w:space="0"/>
              <w:bottom w:val="single" w:color="auto" w:sz="4" w:space="0"/>
              <w:right w:val="single" w:color="auto" w:sz="4" w:space="0"/>
            </w:tcBorders>
            <w:tcW w:w="1533"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3000元/次</w:t>
            </w:r>
            <w:r/>
          </w:p>
        </w:tc>
      </w:tr>
      <w:tr>
        <w:trPr>
          <w:trHeight w:val="450"/>
        </w:trPr>
        <w:tc>
          <w:tcPr>
            <w:tcBorders>
              <w:top w:val="none" w:color="000000" w:sz="4" w:space="0"/>
              <w:left w:val="single" w:color="auto" w:sz="4" w:space="0"/>
              <w:bottom w:val="single" w:color="auto" w:sz="4" w:space="0"/>
              <w:right w:val="single" w:color="auto" w:sz="4" w:space="0"/>
            </w:tcBorders>
            <w:tcW w:w="854"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w:t>
            </w:r>
            <w:r/>
          </w:p>
        </w:tc>
        <w:tc>
          <w:tcPr>
            <w:tcBorders>
              <w:top w:val="none" w:color="000000" w:sz="4" w:space="0"/>
              <w:left w:val="none" w:color="000000" w:sz="4" w:space="0"/>
              <w:bottom w:val="single" w:color="auto" w:sz="4" w:space="0"/>
              <w:right w:val="single" w:color="auto" w:sz="4" w:space="0"/>
            </w:tcBorders>
            <w:tcW w:w="6786"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故障处理完毕5个工作日内，运行维护商不提供“故障分析报告”和“故障处理报告”，并未签字盖印章，不提交给科信处备案；</w:t>
            </w:r>
            <w:r/>
          </w:p>
        </w:tc>
        <w:tc>
          <w:tcPr>
            <w:tcBorders>
              <w:top w:val="none" w:color="000000" w:sz="4" w:space="0"/>
              <w:left w:val="none" w:color="000000" w:sz="4" w:space="0"/>
              <w:bottom w:val="single" w:color="auto" w:sz="4" w:space="0"/>
              <w:right w:val="single" w:color="auto" w:sz="4" w:space="0"/>
            </w:tcBorders>
            <w:tcW w:w="1533"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1000元/次</w:t>
            </w:r>
            <w:r/>
          </w:p>
        </w:tc>
      </w:tr>
      <w:tr>
        <w:trPr>
          <w:trHeight w:val="450"/>
        </w:trPr>
        <w:tc>
          <w:tcPr>
            <w:tcBorders>
              <w:top w:val="none" w:color="000000" w:sz="4" w:space="0"/>
              <w:left w:val="single" w:color="auto" w:sz="4" w:space="0"/>
              <w:bottom w:val="single" w:color="auto" w:sz="4" w:space="0"/>
              <w:right w:val="single" w:color="auto" w:sz="4" w:space="0"/>
            </w:tcBorders>
            <w:tcW w:w="854"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w:t>
            </w:r>
            <w:r/>
          </w:p>
        </w:tc>
        <w:tc>
          <w:tcPr>
            <w:tcBorders>
              <w:top w:val="none" w:color="000000" w:sz="4" w:space="0"/>
              <w:left w:val="none" w:color="000000" w:sz="4" w:space="0"/>
              <w:bottom w:val="single" w:color="auto" w:sz="4" w:space="0"/>
              <w:right w:val="single" w:color="auto" w:sz="4" w:space="0"/>
            </w:tcBorders>
            <w:tcW w:w="6786"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SAN存储管理，未按照用户实际需要调整所用存储空间、合理分配、提高利用率，未汇报存储增长和使用情况；</w:t>
            </w:r>
            <w:r/>
          </w:p>
        </w:tc>
        <w:tc>
          <w:tcPr>
            <w:tcBorders>
              <w:top w:val="none" w:color="000000" w:sz="4" w:space="0"/>
              <w:left w:val="none" w:color="000000" w:sz="4" w:space="0"/>
              <w:bottom w:val="single" w:color="auto" w:sz="4" w:space="0"/>
              <w:right w:val="single" w:color="auto" w:sz="4" w:space="0"/>
            </w:tcBorders>
            <w:tcW w:w="1533"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1000元/次</w:t>
            </w:r>
            <w:r/>
          </w:p>
        </w:tc>
      </w:tr>
      <w:tr>
        <w:trPr>
          <w:trHeight w:val="450"/>
        </w:trPr>
        <w:tc>
          <w:tcPr>
            <w:tcBorders>
              <w:top w:val="none" w:color="000000" w:sz="4" w:space="0"/>
              <w:left w:val="single" w:color="auto" w:sz="4" w:space="0"/>
              <w:bottom w:val="single" w:color="auto" w:sz="4" w:space="0"/>
              <w:right w:val="single" w:color="auto" w:sz="4" w:space="0"/>
            </w:tcBorders>
            <w:tcW w:w="854"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7</w:t>
            </w:r>
            <w:r/>
          </w:p>
        </w:tc>
        <w:tc>
          <w:tcPr>
            <w:tcBorders>
              <w:top w:val="none" w:color="000000" w:sz="4" w:space="0"/>
              <w:left w:val="none" w:color="000000" w:sz="4" w:space="0"/>
              <w:bottom w:val="single" w:color="auto" w:sz="4" w:space="0"/>
              <w:right w:val="single" w:color="auto" w:sz="4" w:space="0"/>
            </w:tcBorders>
            <w:tcW w:w="6786"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操作系统维护，Redhat、AIX、HP-UNIX、Windows等，未按照用户要求在规定时间内重装操作系统、备份操作系统、优化操作系统；</w:t>
            </w:r>
            <w:r/>
          </w:p>
        </w:tc>
        <w:tc>
          <w:tcPr>
            <w:tcBorders>
              <w:top w:val="none" w:color="000000" w:sz="4" w:space="0"/>
              <w:left w:val="none" w:color="000000" w:sz="4" w:space="0"/>
              <w:bottom w:val="single" w:color="auto" w:sz="4" w:space="0"/>
              <w:right w:val="single" w:color="auto" w:sz="4" w:space="0"/>
            </w:tcBorders>
            <w:tcW w:w="1533"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2000元/次</w:t>
            </w:r>
            <w:r/>
          </w:p>
        </w:tc>
      </w:tr>
      <w:tr>
        <w:trPr>
          <w:trHeight w:val="450"/>
        </w:trPr>
        <w:tc>
          <w:tcPr>
            <w:tcBorders>
              <w:top w:val="none" w:color="000000" w:sz="4" w:space="0"/>
              <w:left w:val="single" w:color="auto" w:sz="4" w:space="0"/>
              <w:bottom w:val="single" w:color="auto" w:sz="4" w:space="0"/>
              <w:right w:val="single" w:color="auto" w:sz="4" w:space="0"/>
            </w:tcBorders>
            <w:tcW w:w="854"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8</w:t>
            </w:r>
            <w:r/>
          </w:p>
        </w:tc>
        <w:tc>
          <w:tcPr>
            <w:tcBorders>
              <w:top w:val="none" w:color="000000" w:sz="4" w:space="0"/>
              <w:left w:val="none" w:color="000000" w:sz="4" w:space="0"/>
              <w:bottom w:val="single" w:color="auto" w:sz="4" w:space="0"/>
              <w:right w:val="single" w:color="auto" w:sz="4" w:space="0"/>
            </w:tcBorders>
            <w:tcW w:w="6786"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未按照用户要求对数据库维护，包括安装oracle，sql等数据库、数据库健康检查、配合用户启停数据库、定期检查表空间等；</w:t>
            </w:r>
            <w:r/>
          </w:p>
        </w:tc>
        <w:tc>
          <w:tcPr>
            <w:tcBorders>
              <w:top w:val="none" w:color="000000" w:sz="4" w:space="0"/>
              <w:left w:val="none" w:color="000000" w:sz="4" w:space="0"/>
              <w:bottom w:val="single" w:color="auto" w:sz="4" w:space="0"/>
              <w:right w:val="single" w:color="auto" w:sz="4" w:space="0"/>
            </w:tcBorders>
            <w:tcW w:w="1533"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4000元/次</w:t>
            </w:r>
            <w:r/>
          </w:p>
        </w:tc>
      </w:tr>
      <w:tr>
        <w:trPr>
          <w:trHeight w:val="450"/>
        </w:trPr>
        <w:tc>
          <w:tcPr>
            <w:tcBorders>
              <w:top w:val="none" w:color="000000" w:sz="4" w:space="0"/>
              <w:left w:val="single" w:color="auto" w:sz="4" w:space="0"/>
              <w:bottom w:val="single" w:color="auto" w:sz="4" w:space="0"/>
              <w:right w:val="single" w:color="auto" w:sz="4" w:space="0"/>
            </w:tcBorders>
            <w:tcW w:w="854"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9</w:t>
            </w:r>
            <w:r/>
          </w:p>
        </w:tc>
        <w:tc>
          <w:tcPr>
            <w:tcBorders>
              <w:top w:val="none" w:color="000000" w:sz="4" w:space="0"/>
              <w:left w:val="none" w:color="000000" w:sz="4" w:space="0"/>
              <w:bottom w:val="single" w:color="auto" w:sz="4" w:space="0"/>
              <w:right w:val="single" w:color="auto" w:sz="4" w:space="0"/>
            </w:tcBorders>
            <w:tcW w:w="6786"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未对机房整理与保洁，管理机房环境，保障机房的电源、空调、冷池、门禁等设备的正常运转；</w:t>
            </w:r>
            <w:r/>
          </w:p>
        </w:tc>
        <w:tc>
          <w:tcPr>
            <w:tcBorders>
              <w:top w:val="none" w:color="000000" w:sz="4" w:space="0"/>
              <w:left w:val="none" w:color="000000" w:sz="4" w:space="0"/>
              <w:bottom w:val="single" w:color="auto" w:sz="4" w:space="0"/>
              <w:right w:val="single" w:color="auto" w:sz="4" w:space="0"/>
            </w:tcBorders>
            <w:tcW w:w="1533"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1000元/次</w:t>
            </w:r>
            <w:r/>
          </w:p>
        </w:tc>
      </w:tr>
      <w:tr>
        <w:trPr>
          <w:trHeight w:val="450"/>
        </w:trPr>
        <w:tc>
          <w:tcPr>
            <w:tcBorders>
              <w:top w:val="none" w:color="000000" w:sz="4" w:space="0"/>
              <w:left w:val="single" w:color="auto" w:sz="4" w:space="0"/>
              <w:bottom w:val="single" w:color="auto" w:sz="4" w:space="0"/>
              <w:right w:val="single" w:color="auto" w:sz="4" w:space="0"/>
            </w:tcBorders>
            <w:tcW w:w="854"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10</w:t>
            </w:r>
            <w:r/>
          </w:p>
        </w:tc>
        <w:tc>
          <w:tcPr>
            <w:tcBorders>
              <w:top w:val="none" w:color="000000" w:sz="4" w:space="0"/>
              <w:left w:val="none" w:color="000000" w:sz="4" w:space="0"/>
              <w:bottom w:val="single" w:color="auto" w:sz="4" w:space="0"/>
              <w:right w:val="single" w:color="auto" w:sz="4" w:space="0"/>
            </w:tcBorders>
            <w:tcW w:w="6786"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未提供一份核心业务系统的运行情况报告，包括故障判断，定位系统瓶颈，应采取的措施，以有效提高系统的性能；</w:t>
            </w:r>
            <w:r/>
          </w:p>
        </w:tc>
        <w:tc>
          <w:tcPr>
            <w:tcBorders>
              <w:top w:val="none" w:color="000000" w:sz="4" w:space="0"/>
              <w:left w:val="none" w:color="000000" w:sz="4" w:space="0"/>
              <w:bottom w:val="single" w:color="auto" w:sz="4" w:space="0"/>
              <w:right w:val="single" w:color="auto" w:sz="4" w:space="0"/>
            </w:tcBorders>
            <w:tcW w:w="1533"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3000元/次</w:t>
            </w:r>
            <w:r/>
          </w:p>
        </w:tc>
      </w:tr>
    </w:tbl>
    <w:p>
      <w:pPr>
        <w:pStyle w:val="1148"/>
        <w:numPr>
          <w:ilvl w:val="0"/>
          <w:numId w:val="7"/>
        </w:numPr>
        <w:jc w:val="both"/>
        <w:tabs>
          <w:tab w:val="left" w:pos="2552" w:leader="none"/>
        </w:tabs>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服务清单</w:t>
      </w:r>
      <w:r/>
    </w:p>
    <w:tbl>
      <w:tblPr>
        <w:tblStyle w:val="1157"/>
        <w:tblW w:w="4995" w:type="pct"/>
        <w:tblInd w:w="0" w:type="dxa"/>
        <w:tblLayout w:type="autofit"/>
        <w:tblCellMar>
          <w:left w:w="108" w:type="dxa"/>
          <w:top w:w="0" w:type="dxa"/>
          <w:right w:w="108" w:type="dxa"/>
          <w:bottom w:w="0" w:type="dxa"/>
        </w:tblCellMar>
        <w:tblLook w:val="04A0" w:firstRow="1" w:lastRow="0" w:firstColumn="1" w:lastColumn="0" w:noHBand="0" w:noVBand="1"/>
      </w:tblPr>
      <w:tblGrid>
        <w:gridCol w:w="701"/>
        <w:gridCol w:w="1334"/>
        <w:gridCol w:w="3916"/>
        <w:gridCol w:w="684"/>
        <w:gridCol w:w="609"/>
        <w:gridCol w:w="1108"/>
        <w:gridCol w:w="1068"/>
      </w:tblGrid>
      <w:tr>
        <w:trPr>
          <w:trHeight w:val="285"/>
        </w:trPr>
        <w:tc>
          <w:tcPr>
            <w:tcBorders>
              <w:top w:val="single" w:color="auto" w:sz="8" w:space="0"/>
              <w:left w:val="single" w:color="auto" w:sz="8" w:space="0"/>
              <w:bottom w:val="single" w:color="auto" w:sz="8" w:space="0"/>
              <w:right w:val="single" w:color="auto" w:sz="8" w:space="0"/>
            </w:tcBorders>
            <w:tcW w:w="372"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序号</w:t>
            </w:r>
            <w:r/>
          </w:p>
        </w:tc>
        <w:tc>
          <w:tcPr>
            <w:tcBorders>
              <w:top w:val="single" w:color="auto" w:sz="8" w:space="0"/>
              <w:left w:val="none" w:color="000000" w:sz="4" w:space="0"/>
              <w:bottom w:val="single" w:color="auto" w:sz="8" w:space="0"/>
              <w:right w:val="single" w:color="auto" w:sz="8" w:space="0"/>
            </w:tcBorders>
            <w:tcW w:w="708"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项目名称</w:t>
            </w:r>
            <w:r/>
          </w:p>
        </w:tc>
        <w:tc>
          <w:tcPr>
            <w:tcBorders>
              <w:top w:val="single" w:color="auto" w:sz="8" w:space="0"/>
              <w:left w:val="none" w:color="000000" w:sz="4" w:space="0"/>
              <w:bottom w:val="single" w:color="auto" w:sz="8" w:space="0"/>
              <w:right w:val="single" w:color="auto" w:sz="8" w:space="0"/>
            </w:tcBorders>
            <w:tcW w:w="2078"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主要技术指标</w:t>
            </w:r>
            <w:r/>
          </w:p>
        </w:tc>
        <w:tc>
          <w:tcPr>
            <w:tcBorders>
              <w:top w:val="single" w:color="auto" w:sz="8" w:space="0"/>
              <w:left w:val="none" w:color="000000" w:sz="4" w:space="0"/>
              <w:bottom w:val="single" w:color="auto" w:sz="8" w:space="0"/>
              <w:right w:val="single" w:color="auto" w:sz="8" w:space="0"/>
            </w:tcBorders>
            <w:tcW w:w="363"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单位</w:t>
            </w:r>
            <w:r/>
          </w:p>
        </w:tc>
        <w:tc>
          <w:tcPr>
            <w:tcBorders>
              <w:top w:val="single" w:color="auto" w:sz="8" w:space="0"/>
              <w:left w:val="none" w:color="000000" w:sz="4" w:space="0"/>
              <w:bottom w:val="single" w:color="auto" w:sz="8" w:space="0"/>
              <w:right w:val="single" w:color="auto" w:sz="8" w:space="0"/>
            </w:tcBorders>
            <w:tcW w:w="323"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数量</w:t>
            </w:r>
            <w:r/>
          </w:p>
        </w:tc>
        <w:tc>
          <w:tcPr>
            <w:tcBorders>
              <w:top w:val="single" w:color="auto" w:sz="8" w:space="0"/>
              <w:left w:val="none" w:color="000000" w:sz="4" w:space="0"/>
              <w:bottom w:val="single" w:color="auto" w:sz="8" w:space="0"/>
              <w:right w:val="single" w:color="auto" w:sz="8" w:space="0"/>
            </w:tcBorders>
            <w:tcW w:w="588"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最高限价单价（元）</w:t>
            </w:r>
            <w:r/>
          </w:p>
        </w:tc>
        <w:tc>
          <w:tcPr>
            <w:tcBorders>
              <w:top w:val="single" w:color="auto" w:sz="8" w:space="0"/>
              <w:left w:val="none" w:color="000000" w:sz="4" w:space="0"/>
              <w:bottom w:val="single" w:color="auto" w:sz="8" w:space="0"/>
              <w:right w:val="single" w:color="auto" w:sz="8" w:space="0"/>
            </w:tcBorders>
            <w:tcW w:w="566"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备注</w:t>
            </w:r>
            <w:r/>
          </w:p>
        </w:tc>
      </w:tr>
      <w:tr>
        <w:trPr>
          <w:trHeight w:val="285"/>
        </w:trPr>
        <w:tc>
          <w:tcPr>
            <w:shd w:val="clear" w:color="000000" w:fill="bfbfbf"/>
            <w:tcBorders>
              <w:top w:val="none" w:color="000000" w:sz="4" w:space="0"/>
              <w:left w:val="single" w:color="auto" w:sz="8" w:space="0"/>
              <w:bottom w:val="single" w:color="auto" w:sz="8" w:space="0"/>
              <w:right w:val="single" w:color="auto" w:sz="8" w:space="0"/>
            </w:tcBorders>
            <w:tcW w:w="372"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w:t>
            </w:r>
            <w:r/>
          </w:p>
        </w:tc>
        <w:tc>
          <w:tcPr>
            <w:gridSpan w:val="6"/>
            <w:shd w:val="clear" w:color="000000" w:fill="bfbfbf"/>
            <w:tcBorders>
              <w:top w:val="none" w:color="000000" w:sz="4" w:space="0"/>
              <w:left w:val="none" w:color="000000" w:sz="4" w:space="0"/>
              <w:bottom w:val="single" w:color="auto" w:sz="8" w:space="0"/>
              <w:right w:val="single" w:color="auto" w:sz="8" w:space="0"/>
            </w:tcBorders>
            <w:tcW w:w="4627"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交警支队机房维保　</w:t>
            </w:r>
            <w:r/>
          </w:p>
        </w:tc>
      </w:tr>
      <w:tr>
        <w:trPr>
          <w:trHeight w:val="1680"/>
        </w:trPr>
        <w:tc>
          <w:tcPr>
            <w:tcBorders>
              <w:top w:val="none" w:color="000000" w:sz="4" w:space="0"/>
              <w:left w:val="single" w:color="auto" w:sz="8" w:space="0"/>
              <w:bottom w:val="single" w:color="auto" w:sz="8" w:space="0"/>
              <w:right w:val="single" w:color="auto" w:sz="8" w:space="0"/>
            </w:tcBorders>
            <w:tcW w:w="372"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1.1</w:t>
            </w:r>
            <w:r/>
          </w:p>
        </w:tc>
        <w:tc>
          <w:tcPr>
            <w:tcBorders>
              <w:top w:val="none" w:color="000000" w:sz="4" w:space="0"/>
              <w:left w:val="none" w:color="000000" w:sz="4" w:space="0"/>
              <w:bottom w:val="single" w:color="auto" w:sz="8" w:space="0"/>
              <w:right w:val="single" w:color="auto" w:sz="8" w:space="0"/>
            </w:tcBorders>
            <w:tcW w:w="708"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机房消控系统延保</w:t>
            </w:r>
            <w:r/>
          </w:p>
        </w:tc>
        <w:tc>
          <w:tcPr>
            <w:tcBorders>
              <w:top w:val="none" w:color="000000" w:sz="4" w:space="0"/>
              <w:left w:val="none" w:color="000000" w:sz="4" w:space="0"/>
              <w:bottom w:val="single" w:color="auto" w:sz="8" w:space="0"/>
              <w:right w:val="single" w:color="auto" w:sz="8" w:space="0"/>
            </w:tcBorders>
            <w:tcW w:w="2078"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对机房内消防控制系统设备的产品延保、设备维修及配件更换、专业技术支持等服务。保障设备正常运行，对设备故障进行诊断分析，并提交诊断报告。更换6瓶过期的七氟丙烷，每瓶120L。（火灾报警系统、气体灭火系统等，6瓶七氟丙烷、120L）</w:t>
            </w:r>
            <w:r/>
          </w:p>
        </w:tc>
        <w:tc>
          <w:tcPr>
            <w:tcBorders>
              <w:top w:val="none" w:color="000000" w:sz="4" w:space="0"/>
              <w:left w:val="none" w:color="000000" w:sz="4" w:space="0"/>
              <w:bottom w:val="single" w:color="auto" w:sz="8" w:space="0"/>
              <w:right w:val="single" w:color="auto" w:sz="8" w:space="0"/>
            </w:tcBorders>
            <w:tcW w:w="363"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套</w:t>
            </w:r>
            <w:r/>
          </w:p>
        </w:tc>
        <w:tc>
          <w:tcPr>
            <w:tcBorders>
              <w:top w:val="none" w:color="000000" w:sz="4" w:space="0"/>
              <w:left w:val="none" w:color="000000" w:sz="4" w:space="0"/>
              <w:bottom w:val="single" w:color="auto" w:sz="8" w:space="0"/>
              <w:right w:val="single" w:color="auto" w:sz="8" w:space="0"/>
            </w:tcBorders>
            <w:tcW w:w="323"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w:t>
            </w:r>
            <w:r/>
          </w:p>
        </w:tc>
        <w:tc>
          <w:tcPr>
            <w:tcBorders>
              <w:top w:val="none" w:color="000000" w:sz="4" w:space="0"/>
              <w:left w:val="none" w:color="000000" w:sz="4" w:space="0"/>
              <w:bottom w:val="single" w:color="auto" w:sz="8" w:space="0"/>
              <w:right w:val="single" w:color="auto" w:sz="8" w:space="0"/>
            </w:tcBorders>
            <w:tcW w:w="588"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120000</w:t>
            </w:r>
            <w:r/>
          </w:p>
        </w:tc>
        <w:tc>
          <w:tcPr>
            <w:tcBorders>
              <w:top w:val="none" w:color="000000" w:sz="4" w:space="0"/>
              <w:left w:val="none" w:color="000000" w:sz="4" w:space="0"/>
              <w:bottom w:val="single" w:color="auto" w:sz="8" w:space="0"/>
              <w:right w:val="single" w:color="auto" w:sz="8" w:space="0"/>
            </w:tcBorders>
            <w:tcW w:w="566"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　</w:t>
            </w:r>
            <w:r/>
          </w:p>
        </w:tc>
      </w:tr>
      <w:tr>
        <w:trPr>
          <w:trHeight w:val="853"/>
        </w:trPr>
        <w:tc>
          <w:tcPr>
            <w:tcBorders>
              <w:top w:val="none" w:color="000000" w:sz="4" w:space="0"/>
              <w:left w:val="single" w:color="auto" w:sz="8" w:space="0"/>
              <w:bottom w:val="single" w:color="auto" w:sz="8" w:space="0"/>
              <w:right w:val="single" w:color="auto" w:sz="8" w:space="0"/>
            </w:tcBorders>
            <w:tcW w:w="372"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1.2</w:t>
            </w:r>
            <w:r/>
          </w:p>
        </w:tc>
        <w:tc>
          <w:tcPr>
            <w:tcBorders>
              <w:top w:val="none" w:color="000000" w:sz="4" w:space="0"/>
              <w:left w:val="none" w:color="000000" w:sz="4" w:space="0"/>
              <w:bottom w:val="single" w:color="auto" w:sz="8" w:space="0"/>
              <w:right w:val="single" w:color="auto" w:sz="8" w:space="0"/>
            </w:tcBorders>
            <w:tcW w:w="708"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机房精密空调系统延保</w:t>
            </w:r>
            <w:r/>
          </w:p>
        </w:tc>
        <w:tc>
          <w:tcPr>
            <w:tcBorders>
              <w:top w:val="none" w:color="000000" w:sz="4" w:space="0"/>
              <w:left w:val="none" w:color="000000" w:sz="4" w:space="0"/>
              <w:bottom w:val="single" w:color="auto" w:sz="8" w:space="0"/>
              <w:right w:val="single" w:color="auto" w:sz="8" w:space="0"/>
            </w:tcBorders>
            <w:tcW w:w="2078"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对机房内精密空调系统设备的产品延保、设备维修及配件更换、专业技术支持等服务。保障设备正常运行，对设备故障进行诊断分析，并提交诊断报告。（精密空调系统，2套水冷机组含水路）</w:t>
            </w:r>
            <w:r/>
          </w:p>
        </w:tc>
        <w:tc>
          <w:tcPr>
            <w:tcBorders>
              <w:top w:val="none" w:color="000000" w:sz="4" w:space="0"/>
              <w:left w:val="none" w:color="000000" w:sz="4" w:space="0"/>
              <w:bottom w:val="single" w:color="auto" w:sz="8" w:space="0"/>
              <w:right w:val="single" w:color="auto" w:sz="8" w:space="0"/>
            </w:tcBorders>
            <w:tcW w:w="363"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套</w:t>
            </w:r>
            <w:r/>
          </w:p>
        </w:tc>
        <w:tc>
          <w:tcPr>
            <w:tcBorders>
              <w:top w:val="none" w:color="000000" w:sz="4" w:space="0"/>
              <w:left w:val="none" w:color="000000" w:sz="4" w:space="0"/>
              <w:bottom w:val="single" w:color="auto" w:sz="8" w:space="0"/>
              <w:right w:val="single" w:color="auto" w:sz="8" w:space="0"/>
            </w:tcBorders>
            <w:tcW w:w="323"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w:t>
            </w:r>
            <w:r/>
          </w:p>
        </w:tc>
        <w:tc>
          <w:tcPr>
            <w:tcBorders>
              <w:top w:val="none" w:color="000000" w:sz="4" w:space="0"/>
              <w:left w:val="none" w:color="000000" w:sz="4" w:space="0"/>
              <w:bottom w:val="single" w:color="auto" w:sz="8" w:space="0"/>
              <w:right w:val="single" w:color="auto" w:sz="8" w:space="0"/>
            </w:tcBorders>
            <w:tcW w:w="588"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100000</w:t>
            </w:r>
            <w:r/>
          </w:p>
        </w:tc>
        <w:tc>
          <w:tcPr>
            <w:tcBorders>
              <w:top w:val="none" w:color="000000" w:sz="4" w:space="0"/>
              <w:left w:val="none" w:color="000000" w:sz="4" w:space="0"/>
              <w:bottom w:val="single" w:color="auto" w:sz="8" w:space="0"/>
              <w:right w:val="single" w:color="auto" w:sz="8" w:space="0"/>
            </w:tcBorders>
            <w:tcW w:w="566"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　</w:t>
            </w:r>
            <w:r/>
          </w:p>
        </w:tc>
      </w:tr>
      <w:tr>
        <w:trPr>
          <w:trHeight w:val="1440"/>
        </w:trPr>
        <w:tc>
          <w:tcPr>
            <w:tcBorders>
              <w:top w:val="none" w:color="000000" w:sz="4" w:space="0"/>
              <w:left w:val="single" w:color="auto" w:sz="8" w:space="0"/>
              <w:bottom w:val="single" w:color="auto" w:sz="8" w:space="0"/>
              <w:right w:val="single" w:color="auto" w:sz="8" w:space="0"/>
            </w:tcBorders>
            <w:tcW w:w="372"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1.3</w:t>
            </w:r>
            <w:r/>
          </w:p>
        </w:tc>
        <w:tc>
          <w:tcPr>
            <w:tcBorders>
              <w:top w:val="none" w:color="000000" w:sz="4" w:space="0"/>
              <w:left w:val="none" w:color="000000" w:sz="4" w:space="0"/>
              <w:bottom w:val="single" w:color="auto" w:sz="8" w:space="0"/>
              <w:right w:val="single" w:color="auto" w:sz="8" w:space="0"/>
            </w:tcBorders>
            <w:tcW w:w="708"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机房UPS配电系统延保</w:t>
            </w:r>
            <w:r/>
          </w:p>
        </w:tc>
        <w:tc>
          <w:tcPr>
            <w:tcBorders>
              <w:top w:val="none" w:color="000000" w:sz="4" w:space="0"/>
              <w:left w:val="none" w:color="000000" w:sz="4" w:space="0"/>
              <w:bottom w:val="single" w:color="auto" w:sz="8" w:space="0"/>
              <w:right w:val="single" w:color="auto" w:sz="8" w:space="0"/>
            </w:tcBorders>
            <w:tcW w:w="2078"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对机房内UPS配电系统设备的产品延保、设备维修及配件更换、专业技术支持等服务。保障设备正常运行，对设备故障进行诊断分析，并提交诊断报告。（2套施耐德150KW的UPS主机，2组电视柜、92块电池）</w:t>
            </w:r>
            <w:r/>
          </w:p>
        </w:tc>
        <w:tc>
          <w:tcPr>
            <w:tcBorders>
              <w:top w:val="none" w:color="000000" w:sz="4" w:space="0"/>
              <w:left w:val="none" w:color="000000" w:sz="4" w:space="0"/>
              <w:bottom w:val="single" w:color="auto" w:sz="8" w:space="0"/>
              <w:right w:val="single" w:color="auto" w:sz="8" w:space="0"/>
            </w:tcBorders>
            <w:tcW w:w="363"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套</w:t>
            </w:r>
            <w:r/>
          </w:p>
        </w:tc>
        <w:tc>
          <w:tcPr>
            <w:tcBorders>
              <w:top w:val="none" w:color="000000" w:sz="4" w:space="0"/>
              <w:left w:val="none" w:color="000000" w:sz="4" w:space="0"/>
              <w:bottom w:val="single" w:color="auto" w:sz="8" w:space="0"/>
              <w:right w:val="single" w:color="auto" w:sz="8" w:space="0"/>
            </w:tcBorders>
            <w:tcW w:w="323"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w:t>
            </w:r>
            <w:r/>
          </w:p>
        </w:tc>
        <w:tc>
          <w:tcPr>
            <w:tcBorders>
              <w:top w:val="none" w:color="000000" w:sz="4" w:space="0"/>
              <w:left w:val="none" w:color="000000" w:sz="4" w:space="0"/>
              <w:bottom w:val="single" w:color="auto" w:sz="8" w:space="0"/>
              <w:right w:val="single" w:color="auto" w:sz="8" w:space="0"/>
            </w:tcBorders>
            <w:tcW w:w="588"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50000</w:t>
            </w:r>
            <w:r/>
          </w:p>
        </w:tc>
        <w:tc>
          <w:tcPr>
            <w:tcBorders>
              <w:top w:val="none" w:color="000000" w:sz="4" w:space="0"/>
              <w:left w:val="none" w:color="000000" w:sz="4" w:space="0"/>
              <w:bottom w:val="single" w:color="auto" w:sz="8" w:space="0"/>
              <w:right w:val="single" w:color="auto" w:sz="8" w:space="0"/>
            </w:tcBorders>
            <w:tcW w:w="566"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　</w:t>
            </w:r>
            <w:r/>
          </w:p>
        </w:tc>
      </w:tr>
      <w:tr>
        <w:trPr>
          <w:trHeight w:val="1920"/>
        </w:trPr>
        <w:tc>
          <w:tcPr>
            <w:tcBorders>
              <w:top w:val="none" w:color="000000" w:sz="4" w:space="0"/>
              <w:left w:val="single" w:color="auto" w:sz="8" w:space="0"/>
              <w:bottom w:val="single" w:color="auto" w:sz="8" w:space="0"/>
              <w:right w:val="single" w:color="auto" w:sz="8" w:space="0"/>
            </w:tcBorders>
            <w:tcW w:w="372"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1.4</w:t>
            </w:r>
            <w:r/>
          </w:p>
        </w:tc>
        <w:tc>
          <w:tcPr>
            <w:tcBorders>
              <w:top w:val="none" w:color="000000" w:sz="4" w:space="0"/>
              <w:left w:val="none" w:color="000000" w:sz="4" w:space="0"/>
              <w:bottom w:val="single" w:color="auto" w:sz="8" w:space="0"/>
              <w:right w:val="single" w:color="auto" w:sz="8" w:space="0"/>
            </w:tcBorders>
            <w:tcW w:w="708"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机房内设备维保</w:t>
            </w:r>
            <w:r/>
          </w:p>
        </w:tc>
        <w:tc>
          <w:tcPr>
            <w:tcBorders>
              <w:top w:val="none" w:color="000000" w:sz="4" w:space="0"/>
              <w:left w:val="none" w:color="000000" w:sz="4" w:space="0"/>
              <w:bottom w:val="single" w:color="auto" w:sz="8" w:space="0"/>
              <w:right w:val="single" w:color="auto" w:sz="8" w:space="0"/>
            </w:tcBorders>
            <w:tcW w:w="2078"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对机房内服务器、安全产品、交换机、动环系统等产品延保、设备维修及配件更换、恢复公安网云创平台使用、专业技术支持等服务。对机房内网络进行管理配置，保障网络畅通，对网络故障进行诊断分析，并提交诊断报告。（主要包含约320台设备）云存储设备需要对损坏的硬盘及配件进行更换（约100块4TB企业级硬盘）</w:t>
            </w:r>
            <w:r/>
          </w:p>
        </w:tc>
        <w:tc>
          <w:tcPr>
            <w:tcBorders>
              <w:top w:val="none" w:color="000000" w:sz="4" w:space="0"/>
              <w:left w:val="none" w:color="000000" w:sz="4" w:space="0"/>
              <w:bottom w:val="single" w:color="auto" w:sz="8" w:space="0"/>
              <w:right w:val="single" w:color="auto" w:sz="8" w:space="0"/>
            </w:tcBorders>
            <w:tcW w:w="363"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项</w:t>
            </w:r>
            <w:r/>
          </w:p>
        </w:tc>
        <w:tc>
          <w:tcPr>
            <w:tcBorders>
              <w:top w:val="none" w:color="000000" w:sz="4" w:space="0"/>
              <w:left w:val="none" w:color="000000" w:sz="4" w:space="0"/>
              <w:bottom w:val="single" w:color="auto" w:sz="8" w:space="0"/>
              <w:right w:val="single" w:color="auto" w:sz="8" w:space="0"/>
            </w:tcBorders>
            <w:tcW w:w="323"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w:t>
            </w:r>
            <w:r/>
          </w:p>
        </w:tc>
        <w:tc>
          <w:tcPr>
            <w:tcBorders>
              <w:top w:val="none" w:color="000000" w:sz="4" w:space="0"/>
              <w:left w:val="none" w:color="000000" w:sz="4" w:space="0"/>
              <w:bottom w:val="single" w:color="auto" w:sz="8" w:space="0"/>
              <w:right w:val="single" w:color="auto" w:sz="8" w:space="0"/>
            </w:tcBorders>
            <w:tcW w:w="588"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309000</w:t>
            </w:r>
            <w:r/>
          </w:p>
        </w:tc>
        <w:tc>
          <w:tcPr>
            <w:tcBorders>
              <w:top w:val="none" w:color="000000" w:sz="4" w:space="0"/>
              <w:left w:val="none" w:color="000000" w:sz="4" w:space="0"/>
              <w:bottom w:val="single" w:color="auto" w:sz="8" w:space="0"/>
              <w:right w:val="single" w:color="auto" w:sz="8" w:space="0"/>
            </w:tcBorders>
            <w:tcW w:w="566"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　</w:t>
            </w:r>
            <w:r/>
          </w:p>
        </w:tc>
      </w:tr>
      <w:tr>
        <w:trPr>
          <w:trHeight w:val="480"/>
        </w:trPr>
        <w:tc>
          <w:tcPr>
            <w:shd w:val="clear" w:color="000000" w:fill="bfbfbf"/>
            <w:tcBorders>
              <w:top w:val="none" w:color="000000" w:sz="4" w:space="0"/>
              <w:left w:val="single" w:color="auto" w:sz="8" w:space="0"/>
              <w:bottom w:val="single" w:color="auto" w:sz="8" w:space="0"/>
              <w:right w:val="single" w:color="auto" w:sz="8" w:space="0"/>
            </w:tcBorders>
            <w:tcW w:w="372"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w:t>
            </w:r>
            <w:r/>
          </w:p>
        </w:tc>
        <w:tc>
          <w:tcPr>
            <w:gridSpan w:val="6"/>
            <w:shd w:val="clear" w:color="000000" w:fill="bfbfbf"/>
            <w:tcBorders>
              <w:top w:val="none" w:color="000000" w:sz="4" w:space="0"/>
              <w:left w:val="none" w:color="000000" w:sz="4" w:space="0"/>
              <w:bottom w:val="single" w:color="auto" w:sz="8" w:space="0"/>
              <w:right w:val="single" w:color="auto" w:sz="8" w:space="0"/>
            </w:tcBorders>
            <w:tcW w:w="4627"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交警支队软件维保延期服务　</w:t>
            </w:r>
            <w:r/>
          </w:p>
        </w:tc>
      </w:tr>
      <w:tr>
        <w:trPr>
          <w:trHeight w:val="285"/>
        </w:trPr>
        <w:tc>
          <w:tcPr>
            <w:tcBorders>
              <w:top w:val="none" w:color="000000" w:sz="4" w:space="0"/>
              <w:left w:val="single" w:color="auto" w:sz="8" w:space="0"/>
              <w:bottom w:val="single" w:color="auto" w:sz="8" w:space="0"/>
              <w:right w:val="single" w:color="auto" w:sz="8" w:space="0"/>
            </w:tcBorders>
            <w:tcW w:w="372"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2.1</w:t>
            </w:r>
            <w:r/>
          </w:p>
        </w:tc>
        <w:tc>
          <w:tcPr>
            <w:tcBorders>
              <w:top w:val="none" w:color="000000" w:sz="4" w:space="0"/>
              <w:left w:val="none" w:color="000000" w:sz="4" w:space="0"/>
              <w:bottom w:val="single" w:color="auto" w:sz="8" w:space="0"/>
              <w:right w:val="single" w:color="auto" w:sz="8" w:space="0"/>
            </w:tcBorders>
            <w:tcW w:w="708"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软件维保延期服务</w:t>
            </w:r>
            <w:r/>
          </w:p>
        </w:tc>
        <w:tc>
          <w:tcPr>
            <w:tcBorders>
              <w:top w:val="none" w:color="000000" w:sz="4" w:space="0"/>
              <w:left w:val="none" w:color="000000" w:sz="4" w:space="0"/>
              <w:bottom w:val="single" w:color="auto" w:sz="8" w:space="0"/>
              <w:right w:val="single" w:color="auto" w:sz="8" w:space="0"/>
            </w:tcBorders>
            <w:tcW w:w="2078"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非现场处理监管平台</w:t>
            </w:r>
            <w:r/>
          </w:p>
        </w:tc>
        <w:tc>
          <w:tcPr>
            <w:tcBorders>
              <w:top w:val="none" w:color="000000" w:sz="4" w:space="0"/>
              <w:left w:val="none" w:color="000000" w:sz="4" w:space="0"/>
              <w:bottom w:val="single" w:color="auto" w:sz="8" w:space="0"/>
              <w:right w:val="single" w:color="auto" w:sz="8" w:space="0"/>
            </w:tcBorders>
            <w:tcW w:w="363"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项</w:t>
            </w:r>
            <w:r/>
          </w:p>
        </w:tc>
        <w:tc>
          <w:tcPr>
            <w:tcBorders>
              <w:top w:val="none" w:color="000000" w:sz="4" w:space="0"/>
              <w:left w:val="none" w:color="000000" w:sz="4" w:space="0"/>
              <w:bottom w:val="single" w:color="auto" w:sz="8" w:space="0"/>
              <w:right w:val="single" w:color="auto" w:sz="8" w:space="0"/>
            </w:tcBorders>
            <w:tcW w:w="323"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w:t>
            </w:r>
            <w:r/>
          </w:p>
        </w:tc>
        <w:tc>
          <w:tcPr>
            <w:tcBorders>
              <w:top w:val="none" w:color="000000" w:sz="4" w:space="0"/>
              <w:left w:val="none" w:color="000000" w:sz="4" w:space="0"/>
              <w:bottom w:val="single" w:color="auto" w:sz="8" w:space="0"/>
              <w:right w:val="single" w:color="auto" w:sz="8" w:space="0"/>
            </w:tcBorders>
            <w:tcW w:w="588"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100000</w:t>
            </w:r>
            <w:r/>
          </w:p>
        </w:tc>
        <w:tc>
          <w:tcPr>
            <w:tcBorders>
              <w:top w:val="none" w:color="000000" w:sz="4" w:space="0"/>
              <w:left w:val="none" w:color="000000" w:sz="4" w:space="0"/>
              <w:bottom w:val="single" w:color="auto" w:sz="8" w:space="0"/>
              <w:right w:val="single" w:color="auto" w:sz="8" w:space="0"/>
            </w:tcBorders>
            <w:tcW w:w="566"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新希望　</w:t>
            </w:r>
            <w:r/>
          </w:p>
        </w:tc>
      </w:tr>
      <w:tr>
        <w:trPr>
          <w:trHeight w:val="285"/>
        </w:trPr>
        <w:tc>
          <w:tcPr>
            <w:tcBorders>
              <w:top w:val="none" w:color="000000" w:sz="4" w:space="0"/>
              <w:left w:val="single" w:color="auto" w:sz="8" w:space="0"/>
              <w:bottom w:val="single" w:color="auto" w:sz="8" w:space="0"/>
              <w:right w:val="single" w:color="auto" w:sz="8" w:space="0"/>
            </w:tcBorders>
            <w:tcW w:w="372"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2.2</w:t>
            </w:r>
            <w:r/>
          </w:p>
        </w:tc>
        <w:tc>
          <w:tcPr>
            <w:tcBorders>
              <w:top w:val="none" w:color="000000" w:sz="4" w:space="0"/>
              <w:left w:val="none" w:color="000000" w:sz="4" w:space="0"/>
              <w:bottom w:val="single" w:color="auto" w:sz="8" w:space="0"/>
              <w:right w:val="single" w:color="auto" w:sz="8" w:space="0"/>
            </w:tcBorders>
            <w:tcW w:w="708"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软件维保延期服务</w:t>
            </w:r>
            <w:r/>
          </w:p>
        </w:tc>
        <w:tc>
          <w:tcPr>
            <w:tcBorders>
              <w:top w:val="none" w:color="000000" w:sz="4" w:space="0"/>
              <w:left w:val="none" w:color="000000" w:sz="4" w:space="0"/>
              <w:bottom w:val="single" w:color="auto" w:sz="8" w:space="0"/>
              <w:right w:val="single" w:color="auto" w:sz="8" w:space="0"/>
            </w:tcBorders>
            <w:tcW w:w="2078"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人脸识别</w:t>
            </w:r>
            <w:r/>
          </w:p>
        </w:tc>
        <w:tc>
          <w:tcPr>
            <w:tcBorders>
              <w:top w:val="none" w:color="000000" w:sz="4" w:space="0"/>
              <w:left w:val="none" w:color="000000" w:sz="4" w:space="0"/>
              <w:bottom w:val="single" w:color="auto" w:sz="8" w:space="0"/>
              <w:right w:val="single" w:color="auto" w:sz="8" w:space="0"/>
            </w:tcBorders>
            <w:tcW w:w="363"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项</w:t>
            </w:r>
            <w:r/>
          </w:p>
        </w:tc>
        <w:tc>
          <w:tcPr>
            <w:tcBorders>
              <w:top w:val="none" w:color="000000" w:sz="4" w:space="0"/>
              <w:left w:val="none" w:color="000000" w:sz="4" w:space="0"/>
              <w:bottom w:val="single" w:color="auto" w:sz="8" w:space="0"/>
              <w:right w:val="single" w:color="auto" w:sz="8" w:space="0"/>
            </w:tcBorders>
            <w:tcW w:w="323"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w:t>
            </w:r>
            <w:r/>
          </w:p>
        </w:tc>
        <w:tc>
          <w:tcPr>
            <w:tcBorders>
              <w:top w:val="none" w:color="000000" w:sz="4" w:space="0"/>
              <w:left w:val="none" w:color="000000" w:sz="4" w:space="0"/>
              <w:bottom w:val="single" w:color="auto" w:sz="8" w:space="0"/>
              <w:right w:val="single" w:color="auto" w:sz="8" w:space="0"/>
            </w:tcBorders>
            <w:tcW w:w="588"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80000</w:t>
            </w:r>
            <w:r/>
          </w:p>
        </w:tc>
        <w:tc>
          <w:tcPr>
            <w:tcBorders>
              <w:top w:val="none" w:color="000000" w:sz="4" w:space="0"/>
              <w:left w:val="none" w:color="000000" w:sz="4" w:space="0"/>
              <w:bottom w:val="single" w:color="auto" w:sz="8" w:space="0"/>
              <w:right w:val="single" w:color="auto" w:sz="8" w:space="0"/>
            </w:tcBorders>
            <w:tcW w:w="566"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依图　</w:t>
            </w:r>
            <w:r/>
          </w:p>
        </w:tc>
      </w:tr>
      <w:tr>
        <w:trPr>
          <w:trHeight w:val="285"/>
        </w:trPr>
        <w:tc>
          <w:tcPr>
            <w:tcBorders>
              <w:top w:val="none" w:color="000000" w:sz="4" w:space="0"/>
              <w:left w:val="single" w:color="auto" w:sz="8" w:space="0"/>
              <w:bottom w:val="single" w:color="auto" w:sz="8" w:space="0"/>
              <w:right w:val="single" w:color="auto" w:sz="8" w:space="0"/>
            </w:tcBorders>
            <w:tcW w:w="372"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2.3</w:t>
            </w:r>
            <w:r/>
          </w:p>
        </w:tc>
        <w:tc>
          <w:tcPr>
            <w:tcBorders>
              <w:top w:val="none" w:color="000000" w:sz="4" w:space="0"/>
              <w:left w:val="none" w:color="000000" w:sz="4" w:space="0"/>
              <w:bottom w:val="single" w:color="auto" w:sz="8" w:space="0"/>
              <w:right w:val="single" w:color="auto" w:sz="8" w:space="0"/>
            </w:tcBorders>
            <w:tcW w:w="708"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软件维保延期服务</w:t>
            </w:r>
            <w:r/>
          </w:p>
        </w:tc>
        <w:tc>
          <w:tcPr>
            <w:tcBorders>
              <w:top w:val="none" w:color="000000" w:sz="4" w:space="0"/>
              <w:left w:val="none" w:color="000000" w:sz="4" w:space="0"/>
              <w:bottom w:val="single" w:color="auto" w:sz="8" w:space="0"/>
              <w:right w:val="single" w:color="auto" w:sz="8" w:space="0"/>
            </w:tcBorders>
            <w:tcW w:w="2078"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同步库软件</w:t>
            </w:r>
            <w:r/>
          </w:p>
        </w:tc>
        <w:tc>
          <w:tcPr>
            <w:tcBorders>
              <w:top w:val="none" w:color="000000" w:sz="4" w:space="0"/>
              <w:left w:val="none" w:color="000000" w:sz="4" w:space="0"/>
              <w:bottom w:val="single" w:color="auto" w:sz="8" w:space="0"/>
              <w:right w:val="single" w:color="auto" w:sz="8" w:space="0"/>
            </w:tcBorders>
            <w:tcW w:w="363"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项</w:t>
            </w:r>
            <w:r/>
          </w:p>
        </w:tc>
        <w:tc>
          <w:tcPr>
            <w:tcBorders>
              <w:top w:val="none" w:color="000000" w:sz="4" w:space="0"/>
              <w:left w:val="none" w:color="000000" w:sz="4" w:space="0"/>
              <w:bottom w:val="single" w:color="auto" w:sz="8" w:space="0"/>
              <w:right w:val="single" w:color="auto" w:sz="8" w:space="0"/>
            </w:tcBorders>
            <w:tcW w:w="323"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w:t>
            </w:r>
            <w:r/>
          </w:p>
        </w:tc>
        <w:tc>
          <w:tcPr>
            <w:tcBorders>
              <w:top w:val="none" w:color="000000" w:sz="4" w:space="0"/>
              <w:left w:val="none" w:color="000000" w:sz="4" w:space="0"/>
              <w:bottom w:val="single" w:color="auto" w:sz="8" w:space="0"/>
              <w:right w:val="single" w:color="auto" w:sz="8" w:space="0"/>
            </w:tcBorders>
            <w:tcW w:w="588"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50000</w:t>
            </w:r>
            <w:r/>
          </w:p>
        </w:tc>
        <w:tc>
          <w:tcPr>
            <w:tcBorders>
              <w:top w:val="none" w:color="000000" w:sz="4" w:space="0"/>
              <w:left w:val="none" w:color="000000" w:sz="4" w:space="0"/>
              <w:bottom w:val="single" w:color="auto" w:sz="8" w:space="0"/>
              <w:right w:val="single" w:color="auto" w:sz="8" w:space="0"/>
            </w:tcBorders>
            <w:tcW w:w="566"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迪思杰　</w:t>
            </w:r>
            <w:r/>
          </w:p>
        </w:tc>
      </w:tr>
      <w:tr>
        <w:trPr>
          <w:trHeight w:val="480"/>
        </w:trPr>
        <w:tc>
          <w:tcPr>
            <w:tcBorders>
              <w:top w:val="none" w:color="000000" w:sz="4" w:space="0"/>
              <w:left w:val="single" w:color="auto" w:sz="8" w:space="0"/>
              <w:bottom w:val="single" w:color="auto" w:sz="8" w:space="0"/>
              <w:right w:val="single" w:color="auto" w:sz="8" w:space="0"/>
            </w:tcBorders>
            <w:tcW w:w="372"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2.4</w:t>
            </w:r>
            <w:r/>
          </w:p>
        </w:tc>
        <w:tc>
          <w:tcPr>
            <w:tcBorders>
              <w:top w:val="none" w:color="000000" w:sz="4" w:space="0"/>
              <w:left w:val="none" w:color="000000" w:sz="4" w:space="0"/>
              <w:bottom w:val="single" w:color="auto" w:sz="8" w:space="0"/>
              <w:right w:val="single" w:color="auto" w:sz="8" w:space="0"/>
            </w:tcBorders>
            <w:tcW w:w="708"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软件维保延期服务</w:t>
            </w:r>
            <w:r/>
          </w:p>
        </w:tc>
        <w:tc>
          <w:tcPr>
            <w:tcBorders>
              <w:top w:val="none" w:color="000000" w:sz="4" w:space="0"/>
              <w:left w:val="none" w:color="000000" w:sz="4" w:space="0"/>
              <w:bottom w:val="single" w:color="auto" w:sz="8" w:space="0"/>
              <w:right w:val="single" w:color="auto" w:sz="8" w:space="0"/>
            </w:tcBorders>
            <w:tcW w:w="2078"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泰州交警感知网视频联网平台（含运维平台）（含平台授权1年）</w:t>
            </w:r>
            <w:r/>
          </w:p>
        </w:tc>
        <w:tc>
          <w:tcPr>
            <w:tcBorders>
              <w:top w:val="none" w:color="000000" w:sz="4" w:space="0"/>
              <w:left w:val="none" w:color="000000" w:sz="4" w:space="0"/>
              <w:bottom w:val="single" w:color="auto" w:sz="8" w:space="0"/>
              <w:right w:val="single" w:color="auto" w:sz="8" w:space="0"/>
            </w:tcBorders>
            <w:tcW w:w="363"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项</w:t>
            </w:r>
            <w:r/>
          </w:p>
        </w:tc>
        <w:tc>
          <w:tcPr>
            <w:tcBorders>
              <w:top w:val="none" w:color="000000" w:sz="4" w:space="0"/>
              <w:left w:val="none" w:color="000000" w:sz="4" w:space="0"/>
              <w:bottom w:val="single" w:color="auto" w:sz="8" w:space="0"/>
              <w:right w:val="single" w:color="auto" w:sz="8" w:space="0"/>
            </w:tcBorders>
            <w:tcW w:w="323"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w:t>
            </w:r>
            <w:r/>
          </w:p>
        </w:tc>
        <w:tc>
          <w:tcPr>
            <w:tcBorders>
              <w:top w:val="none" w:color="000000" w:sz="4" w:space="0"/>
              <w:left w:val="none" w:color="000000" w:sz="4" w:space="0"/>
              <w:bottom w:val="single" w:color="auto" w:sz="8" w:space="0"/>
              <w:right w:val="single" w:color="auto" w:sz="8" w:space="0"/>
            </w:tcBorders>
            <w:tcW w:w="588"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50000</w:t>
            </w:r>
            <w:r/>
          </w:p>
        </w:tc>
        <w:tc>
          <w:tcPr>
            <w:tcBorders>
              <w:top w:val="none" w:color="000000" w:sz="4" w:space="0"/>
              <w:left w:val="none" w:color="000000" w:sz="4" w:space="0"/>
              <w:bottom w:val="single" w:color="auto" w:sz="8" w:space="0"/>
              <w:right w:val="single" w:color="auto" w:sz="8" w:space="0"/>
            </w:tcBorders>
            <w:tcW w:w="566"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海康威视　</w:t>
            </w:r>
            <w:r/>
          </w:p>
        </w:tc>
      </w:tr>
      <w:tr>
        <w:trPr>
          <w:trHeight w:val="285"/>
        </w:trPr>
        <w:tc>
          <w:tcPr>
            <w:tcBorders>
              <w:top w:val="none" w:color="000000" w:sz="4" w:space="0"/>
              <w:left w:val="single" w:color="auto" w:sz="8" w:space="0"/>
              <w:bottom w:val="single" w:color="auto" w:sz="8" w:space="0"/>
              <w:right w:val="single" w:color="auto" w:sz="8" w:space="0"/>
            </w:tcBorders>
            <w:tcW w:w="372"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2.5</w:t>
            </w:r>
            <w:r/>
          </w:p>
        </w:tc>
        <w:tc>
          <w:tcPr>
            <w:tcBorders>
              <w:top w:val="none" w:color="000000" w:sz="4" w:space="0"/>
              <w:left w:val="none" w:color="000000" w:sz="4" w:space="0"/>
              <w:bottom w:val="single" w:color="auto" w:sz="8" w:space="0"/>
              <w:right w:val="single" w:color="auto" w:sz="8" w:space="0"/>
            </w:tcBorders>
            <w:tcW w:w="708"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软件维保延期服务</w:t>
            </w:r>
            <w:r/>
          </w:p>
        </w:tc>
        <w:tc>
          <w:tcPr>
            <w:tcBorders>
              <w:top w:val="none" w:color="000000" w:sz="4" w:space="0"/>
              <w:left w:val="none" w:color="000000" w:sz="4" w:space="0"/>
              <w:bottom w:val="single" w:color="auto" w:sz="8" w:space="0"/>
              <w:right w:val="single" w:color="auto" w:sz="8" w:space="0"/>
            </w:tcBorders>
            <w:tcW w:w="2078"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公安交通集成指挥平台软件</w:t>
            </w:r>
            <w:r/>
          </w:p>
        </w:tc>
        <w:tc>
          <w:tcPr>
            <w:tcBorders>
              <w:top w:val="none" w:color="000000" w:sz="4" w:space="0"/>
              <w:left w:val="none" w:color="000000" w:sz="4" w:space="0"/>
              <w:bottom w:val="single" w:color="auto" w:sz="8" w:space="0"/>
              <w:right w:val="single" w:color="auto" w:sz="8" w:space="0"/>
            </w:tcBorders>
            <w:tcW w:w="363"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项</w:t>
            </w:r>
            <w:r/>
          </w:p>
        </w:tc>
        <w:tc>
          <w:tcPr>
            <w:tcBorders>
              <w:top w:val="none" w:color="000000" w:sz="4" w:space="0"/>
              <w:left w:val="none" w:color="000000" w:sz="4" w:space="0"/>
              <w:bottom w:val="single" w:color="auto" w:sz="8" w:space="0"/>
              <w:right w:val="single" w:color="auto" w:sz="8" w:space="0"/>
            </w:tcBorders>
            <w:tcW w:w="323"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w:t>
            </w:r>
            <w:r/>
          </w:p>
        </w:tc>
        <w:tc>
          <w:tcPr>
            <w:tcBorders>
              <w:top w:val="none" w:color="000000" w:sz="4" w:space="0"/>
              <w:left w:val="none" w:color="000000" w:sz="4" w:space="0"/>
              <w:bottom w:val="single" w:color="auto" w:sz="8" w:space="0"/>
              <w:right w:val="single" w:color="auto" w:sz="8" w:space="0"/>
            </w:tcBorders>
            <w:tcW w:w="588"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80000</w:t>
            </w:r>
            <w:r/>
          </w:p>
        </w:tc>
        <w:tc>
          <w:tcPr>
            <w:tcBorders>
              <w:top w:val="none" w:color="000000" w:sz="4" w:space="0"/>
              <w:left w:val="none" w:color="000000" w:sz="4" w:space="0"/>
              <w:bottom w:val="single" w:color="auto" w:sz="8" w:space="0"/>
              <w:right w:val="single" w:color="auto" w:sz="8" w:space="0"/>
            </w:tcBorders>
            <w:tcW w:w="566"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　</w:t>
            </w:r>
            <w:r/>
          </w:p>
        </w:tc>
      </w:tr>
      <w:tr>
        <w:trPr>
          <w:trHeight w:val="480"/>
        </w:trPr>
        <w:tc>
          <w:tcPr>
            <w:tcBorders>
              <w:top w:val="none" w:color="000000" w:sz="4" w:space="0"/>
              <w:left w:val="single" w:color="auto" w:sz="8" w:space="0"/>
              <w:bottom w:val="single" w:color="auto" w:sz="8" w:space="0"/>
              <w:right w:val="single" w:color="auto" w:sz="8" w:space="0"/>
            </w:tcBorders>
            <w:tcW w:w="372"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2.6</w:t>
            </w:r>
            <w:r/>
          </w:p>
        </w:tc>
        <w:tc>
          <w:tcPr>
            <w:tcBorders>
              <w:top w:val="none" w:color="000000" w:sz="4" w:space="0"/>
              <w:left w:val="none" w:color="000000" w:sz="4" w:space="0"/>
              <w:bottom w:val="single" w:color="auto" w:sz="8" w:space="0"/>
              <w:right w:val="single" w:color="auto" w:sz="8" w:space="0"/>
            </w:tcBorders>
            <w:tcW w:w="708"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等保测评服务</w:t>
            </w:r>
            <w:r/>
          </w:p>
        </w:tc>
        <w:tc>
          <w:tcPr>
            <w:tcBorders>
              <w:top w:val="none" w:color="000000" w:sz="4" w:space="0"/>
              <w:left w:val="none" w:color="000000" w:sz="4" w:space="0"/>
              <w:bottom w:val="single" w:color="auto" w:sz="8" w:space="0"/>
              <w:right w:val="single" w:color="auto" w:sz="8" w:space="0"/>
            </w:tcBorders>
            <w:tcW w:w="2078"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对公安交通集成指挥平台提供一次三级等保测评</w:t>
            </w:r>
            <w:r/>
          </w:p>
        </w:tc>
        <w:tc>
          <w:tcPr>
            <w:tcBorders>
              <w:top w:val="none" w:color="000000" w:sz="4" w:space="0"/>
              <w:left w:val="none" w:color="000000" w:sz="4" w:space="0"/>
              <w:bottom w:val="single" w:color="auto" w:sz="8" w:space="0"/>
              <w:right w:val="single" w:color="auto" w:sz="8" w:space="0"/>
            </w:tcBorders>
            <w:tcW w:w="363"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项</w:t>
            </w:r>
            <w:r/>
          </w:p>
        </w:tc>
        <w:tc>
          <w:tcPr>
            <w:tcBorders>
              <w:top w:val="none" w:color="000000" w:sz="4" w:space="0"/>
              <w:left w:val="none" w:color="000000" w:sz="4" w:space="0"/>
              <w:bottom w:val="single" w:color="auto" w:sz="8" w:space="0"/>
              <w:right w:val="single" w:color="auto" w:sz="8" w:space="0"/>
            </w:tcBorders>
            <w:tcW w:w="323"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w:t>
            </w:r>
            <w:r/>
          </w:p>
        </w:tc>
        <w:tc>
          <w:tcPr>
            <w:tcBorders>
              <w:top w:val="none" w:color="000000" w:sz="4" w:space="0"/>
              <w:left w:val="none" w:color="000000" w:sz="4" w:space="0"/>
              <w:bottom w:val="single" w:color="auto" w:sz="8" w:space="0"/>
              <w:right w:val="single" w:color="auto" w:sz="8" w:space="0"/>
            </w:tcBorders>
            <w:tcW w:w="588"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50000</w:t>
            </w:r>
            <w:r/>
          </w:p>
        </w:tc>
        <w:tc>
          <w:tcPr>
            <w:tcBorders>
              <w:top w:val="none" w:color="000000" w:sz="4" w:space="0"/>
              <w:left w:val="none" w:color="000000" w:sz="4" w:space="0"/>
              <w:bottom w:val="single" w:color="auto" w:sz="8" w:space="0"/>
              <w:right w:val="single" w:color="auto" w:sz="8" w:space="0"/>
            </w:tcBorders>
            <w:tcW w:w="566"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　</w:t>
            </w:r>
            <w:r/>
          </w:p>
        </w:tc>
      </w:tr>
      <w:tr>
        <w:trPr>
          <w:trHeight w:val="720"/>
        </w:trPr>
        <w:tc>
          <w:tcPr>
            <w:tcBorders>
              <w:top w:val="none" w:color="000000" w:sz="4" w:space="0"/>
              <w:left w:val="single" w:color="auto" w:sz="8" w:space="0"/>
              <w:bottom w:val="single" w:color="auto" w:sz="8" w:space="0"/>
              <w:right w:val="single" w:color="auto" w:sz="8" w:space="0"/>
            </w:tcBorders>
            <w:tcW w:w="372"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2.7</w:t>
            </w:r>
            <w:r/>
          </w:p>
        </w:tc>
        <w:tc>
          <w:tcPr>
            <w:tcBorders>
              <w:top w:val="none" w:color="000000" w:sz="4" w:space="0"/>
              <w:left w:val="none" w:color="000000" w:sz="4" w:space="0"/>
              <w:bottom w:val="single" w:color="auto" w:sz="8" w:space="0"/>
              <w:right w:val="single" w:color="auto" w:sz="8" w:space="0"/>
            </w:tcBorders>
            <w:tcW w:w="708"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防火墙服务</w:t>
            </w:r>
            <w:r/>
          </w:p>
        </w:tc>
        <w:tc>
          <w:tcPr>
            <w:tcBorders>
              <w:top w:val="none" w:color="000000" w:sz="4" w:space="0"/>
              <w:left w:val="none" w:color="000000" w:sz="4" w:space="0"/>
              <w:bottom w:val="single" w:color="auto" w:sz="8" w:space="0"/>
              <w:right w:val="single" w:color="auto" w:sz="8" w:space="0"/>
            </w:tcBorders>
            <w:tcW w:w="2078"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更换支队大楼互联网出口防火墙服务一套、感知网-互联网（边界）防火墙服务一套</w:t>
            </w:r>
            <w:r/>
          </w:p>
        </w:tc>
        <w:tc>
          <w:tcPr>
            <w:tcBorders>
              <w:top w:val="none" w:color="000000" w:sz="4" w:space="0"/>
              <w:left w:val="none" w:color="000000" w:sz="4" w:space="0"/>
              <w:bottom w:val="single" w:color="auto" w:sz="8" w:space="0"/>
              <w:right w:val="single" w:color="auto" w:sz="8" w:space="0"/>
            </w:tcBorders>
            <w:tcW w:w="363"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项</w:t>
            </w:r>
            <w:r/>
          </w:p>
        </w:tc>
        <w:tc>
          <w:tcPr>
            <w:tcBorders>
              <w:top w:val="none" w:color="000000" w:sz="4" w:space="0"/>
              <w:left w:val="none" w:color="000000" w:sz="4" w:space="0"/>
              <w:bottom w:val="single" w:color="auto" w:sz="8" w:space="0"/>
              <w:right w:val="single" w:color="auto" w:sz="8" w:space="0"/>
            </w:tcBorders>
            <w:tcW w:w="323"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w:t>
            </w:r>
            <w:r/>
          </w:p>
        </w:tc>
        <w:tc>
          <w:tcPr>
            <w:tcBorders>
              <w:top w:val="none" w:color="000000" w:sz="4" w:space="0"/>
              <w:left w:val="none" w:color="000000" w:sz="4" w:space="0"/>
              <w:bottom w:val="single" w:color="auto" w:sz="8" w:space="0"/>
              <w:right w:val="single" w:color="auto" w:sz="8" w:space="0"/>
            </w:tcBorders>
            <w:tcW w:w="588"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80000</w:t>
            </w:r>
            <w:r/>
          </w:p>
        </w:tc>
        <w:tc>
          <w:tcPr>
            <w:tcBorders>
              <w:top w:val="none" w:color="000000" w:sz="4" w:space="0"/>
              <w:left w:val="none" w:color="000000" w:sz="4" w:space="0"/>
              <w:bottom w:val="single" w:color="auto" w:sz="8" w:space="0"/>
              <w:right w:val="single" w:color="auto" w:sz="8" w:space="0"/>
            </w:tcBorders>
            <w:tcW w:w="566"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　</w:t>
            </w:r>
            <w:r/>
          </w:p>
        </w:tc>
      </w:tr>
      <w:tr>
        <w:trPr>
          <w:trHeight w:val="285"/>
        </w:trPr>
        <w:tc>
          <w:tcPr>
            <w:shd w:val="clear" w:color="000000" w:fill="bfbfbf"/>
            <w:tcBorders>
              <w:top w:val="none" w:color="000000" w:sz="4" w:space="0"/>
              <w:left w:val="single" w:color="auto" w:sz="8" w:space="0"/>
              <w:bottom w:val="single" w:color="auto" w:sz="8" w:space="0"/>
              <w:right w:val="single" w:color="auto" w:sz="8" w:space="0"/>
            </w:tcBorders>
            <w:tcW w:w="372"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w:t>
            </w:r>
            <w:r/>
          </w:p>
        </w:tc>
        <w:tc>
          <w:tcPr>
            <w:gridSpan w:val="6"/>
            <w:shd w:val="clear" w:color="000000" w:fill="bfbfbf"/>
            <w:tcBorders>
              <w:top w:val="none" w:color="000000" w:sz="4" w:space="0"/>
              <w:left w:val="none" w:color="000000" w:sz="4" w:space="0"/>
              <w:bottom w:val="single" w:color="auto" w:sz="8" w:space="0"/>
              <w:right w:val="single" w:color="auto" w:sz="8" w:space="0"/>
            </w:tcBorders>
            <w:tcW w:w="4627"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交警支队前端维保　　</w:t>
            </w:r>
            <w:r/>
          </w:p>
        </w:tc>
      </w:tr>
      <w:tr>
        <w:trPr>
          <w:trHeight w:val="480"/>
        </w:trPr>
        <w:tc>
          <w:tcPr>
            <w:tcBorders>
              <w:top w:val="none" w:color="000000" w:sz="4" w:space="0"/>
              <w:left w:val="single" w:color="auto" w:sz="8" w:space="0"/>
              <w:bottom w:val="single" w:color="auto" w:sz="8" w:space="0"/>
              <w:right w:val="single" w:color="auto" w:sz="8" w:space="0"/>
            </w:tcBorders>
            <w:tcW w:w="372"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3.1</w:t>
            </w:r>
            <w:r/>
          </w:p>
        </w:tc>
        <w:tc>
          <w:tcPr>
            <w:tcBorders>
              <w:top w:val="none" w:color="000000" w:sz="4" w:space="0"/>
              <w:left w:val="none" w:color="000000" w:sz="4" w:space="0"/>
              <w:bottom w:val="single" w:color="auto" w:sz="8" w:space="0"/>
              <w:right w:val="single" w:color="auto" w:sz="8" w:space="0"/>
            </w:tcBorders>
            <w:tcW w:w="708"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交警支队前端设备维保</w:t>
            </w:r>
            <w:r/>
          </w:p>
        </w:tc>
        <w:tc>
          <w:tcPr>
            <w:tcBorders>
              <w:top w:val="none" w:color="000000" w:sz="4" w:space="0"/>
              <w:left w:val="none" w:color="000000" w:sz="4" w:space="0"/>
              <w:bottom w:val="single" w:color="auto" w:sz="8" w:space="0"/>
              <w:right w:val="single" w:color="auto" w:sz="8" w:space="0"/>
            </w:tcBorders>
            <w:tcW w:w="2078"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公安交通集成指挥平台重要点位关联的设备，数量84个点位</w:t>
            </w:r>
            <w:r/>
          </w:p>
        </w:tc>
        <w:tc>
          <w:tcPr>
            <w:tcBorders>
              <w:top w:val="none" w:color="000000" w:sz="4" w:space="0"/>
              <w:left w:val="none" w:color="000000" w:sz="4" w:space="0"/>
              <w:bottom w:val="single" w:color="auto" w:sz="8" w:space="0"/>
              <w:right w:val="single" w:color="auto" w:sz="8" w:space="0"/>
            </w:tcBorders>
            <w:tcW w:w="363"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项</w:t>
            </w:r>
            <w:r/>
          </w:p>
        </w:tc>
        <w:tc>
          <w:tcPr>
            <w:tcBorders>
              <w:top w:val="none" w:color="000000" w:sz="4" w:space="0"/>
              <w:left w:val="none" w:color="000000" w:sz="4" w:space="0"/>
              <w:bottom w:val="single" w:color="auto" w:sz="8" w:space="0"/>
              <w:right w:val="single" w:color="auto" w:sz="8" w:space="0"/>
            </w:tcBorders>
            <w:tcW w:w="323"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w:t>
            </w:r>
            <w:r/>
          </w:p>
        </w:tc>
        <w:tc>
          <w:tcPr>
            <w:tcBorders>
              <w:top w:val="none" w:color="000000" w:sz="4" w:space="0"/>
              <w:left w:val="none" w:color="000000" w:sz="4" w:space="0"/>
              <w:bottom w:val="single" w:color="auto" w:sz="8" w:space="0"/>
              <w:right w:val="single" w:color="auto" w:sz="8" w:space="0"/>
            </w:tcBorders>
            <w:tcW w:w="588"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27000</w:t>
            </w:r>
            <w:r/>
          </w:p>
        </w:tc>
        <w:tc>
          <w:tcPr>
            <w:tcBorders>
              <w:top w:val="none" w:color="000000" w:sz="4" w:space="0"/>
              <w:left w:val="none" w:color="000000" w:sz="4" w:space="0"/>
              <w:bottom w:val="single" w:color="auto" w:sz="8" w:space="0"/>
              <w:right w:val="single" w:color="auto" w:sz="8" w:space="0"/>
            </w:tcBorders>
            <w:tcW w:w="566"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　</w:t>
            </w:r>
            <w:r/>
          </w:p>
        </w:tc>
      </w:tr>
      <w:tr>
        <w:trPr>
          <w:trHeight w:val="285"/>
        </w:trPr>
        <w:tc>
          <w:tcPr>
            <w:tcBorders>
              <w:top w:val="none" w:color="000000" w:sz="4" w:space="0"/>
              <w:left w:val="single" w:color="auto" w:sz="8" w:space="0"/>
              <w:bottom w:val="single" w:color="auto" w:sz="8" w:space="0"/>
              <w:right w:val="single" w:color="auto" w:sz="8" w:space="0"/>
            </w:tcBorders>
            <w:tcW w:w="372"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3.2</w:t>
            </w:r>
            <w:r/>
          </w:p>
        </w:tc>
        <w:tc>
          <w:tcPr>
            <w:tcBorders>
              <w:top w:val="none" w:color="000000" w:sz="4" w:space="0"/>
              <w:left w:val="none" w:color="000000" w:sz="4" w:space="0"/>
              <w:bottom w:val="single" w:color="auto" w:sz="8" w:space="0"/>
              <w:right w:val="single" w:color="auto" w:sz="8" w:space="0"/>
            </w:tcBorders>
            <w:tcW w:w="708"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执法取证设备维保</w:t>
            </w:r>
            <w:r/>
          </w:p>
        </w:tc>
        <w:tc>
          <w:tcPr>
            <w:tcBorders>
              <w:top w:val="none" w:color="000000" w:sz="4" w:space="0"/>
              <w:left w:val="none" w:color="000000" w:sz="4" w:space="0"/>
              <w:bottom w:val="single" w:color="auto" w:sz="8" w:space="0"/>
              <w:right w:val="single" w:color="auto" w:sz="8" w:space="0"/>
            </w:tcBorders>
            <w:tcW w:w="2078"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执法取证设备维保，数量1946台</w:t>
            </w:r>
            <w:r/>
          </w:p>
        </w:tc>
        <w:tc>
          <w:tcPr>
            <w:tcBorders>
              <w:top w:val="none" w:color="000000" w:sz="4" w:space="0"/>
              <w:left w:val="none" w:color="000000" w:sz="4" w:space="0"/>
              <w:bottom w:val="single" w:color="auto" w:sz="8" w:space="0"/>
              <w:right w:val="single" w:color="auto" w:sz="8" w:space="0"/>
            </w:tcBorders>
            <w:tcW w:w="363"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项</w:t>
            </w:r>
            <w:r/>
          </w:p>
        </w:tc>
        <w:tc>
          <w:tcPr>
            <w:tcBorders>
              <w:top w:val="none" w:color="000000" w:sz="4" w:space="0"/>
              <w:left w:val="none" w:color="000000" w:sz="4" w:space="0"/>
              <w:bottom w:val="single" w:color="auto" w:sz="8" w:space="0"/>
              <w:right w:val="single" w:color="auto" w:sz="8" w:space="0"/>
            </w:tcBorders>
            <w:tcW w:w="323"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w:t>
            </w:r>
            <w:r/>
          </w:p>
        </w:tc>
        <w:tc>
          <w:tcPr>
            <w:tcBorders>
              <w:top w:val="none" w:color="000000" w:sz="4" w:space="0"/>
              <w:left w:val="none" w:color="000000" w:sz="4" w:space="0"/>
              <w:bottom w:val="single" w:color="auto" w:sz="8" w:space="0"/>
              <w:right w:val="single" w:color="auto" w:sz="8" w:space="0"/>
            </w:tcBorders>
            <w:tcW w:w="588"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396705</w:t>
            </w:r>
            <w:r/>
          </w:p>
        </w:tc>
        <w:tc>
          <w:tcPr>
            <w:tcBorders>
              <w:top w:val="none" w:color="000000" w:sz="4" w:space="0"/>
              <w:left w:val="none" w:color="000000" w:sz="4" w:space="0"/>
              <w:bottom w:val="single" w:color="auto" w:sz="8" w:space="0"/>
              <w:right w:val="single" w:color="auto" w:sz="8" w:space="0"/>
            </w:tcBorders>
            <w:tcW w:w="566"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　</w:t>
            </w:r>
            <w:r/>
          </w:p>
        </w:tc>
      </w:tr>
      <w:tr>
        <w:trPr>
          <w:trHeight w:val="285"/>
        </w:trPr>
        <w:tc>
          <w:tcPr>
            <w:tcBorders>
              <w:top w:val="none" w:color="000000" w:sz="4" w:space="0"/>
              <w:left w:val="single" w:color="auto" w:sz="8" w:space="0"/>
              <w:bottom w:val="single" w:color="auto" w:sz="8" w:space="0"/>
              <w:right w:val="single" w:color="auto" w:sz="8" w:space="0"/>
            </w:tcBorders>
            <w:tcW w:w="372"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3.3</w:t>
            </w:r>
            <w:r/>
          </w:p>
        </w:tc>
        <w:tc>
          <w:tcPr>
            <w:tcBorders>
              <w:top w:val="none" w:color="000000" w:sz="4" w:space="0"/>
              <w:left w:val="none" w:color="000000" w:sz="4" w:space="0"/>
              <w:bottom w:val="single" w:color="auto" w:sz="8" w:space="0"/>
              <w:right w:val="single" w:color="auto" w:sz="8" w:space="0"/>
            </w:tcBorders>
            <w:tcW w:w="708"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预警卡口设备维保</w:t>
            </w:r>
            <w:r/>
          </w:p>
        </w:tc>
        <w:tc>
          <w:tcPr>
            <w:tcBorders>
              <w:top w:val="none" w:color="000000" w:sz="4" w:space="0"/>
              <w:left w:val="none" w:color="000000" w:sz="4" w:space="0"/>
              <w:bottom w:val="single" w:color="auto" w:sz="8" w:space="0"/>
              <w:right w:val="single" w:color="auto" w:sz="8" w:space="0"/>
            </w:tcBorders>
            <w:tcW w:w="2078"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预警卡口设备1125台</w:t>
            </w:r>
            <w:r/>
          </w:p>
        </w:tc>
        <w:tc>
          <w:tcPr>
            <w:tcBorders>
              <w:top w:val="none" w:color="000000" w:sz="4" w:space="0"/>
              <w:left w:val="none" w:color="000000" w:sz="4" w:space="0"/>
              <w:bottom w:val="single" w:color="auto" w:sz="8" w:space="0"/>
              <w:right w:val="single" w:color="auto" w:sz="8" w:space="0"/>
            </w:tcBorders>
            <w:tcW w:w="363"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项</w:t>
            </w:r>
            <w:r/>
          </w:p>
        </w:tc>
        <w:tc>
          <w:tcPr>
            <w:tcBorders>
              <w:top w:val="none" w:color="000000" w:sz="4" w:space="0"/>
              <w:left w:val="none" w:color="000000" w:sz="4" w:space="0"/>
              <w:bottom w:val="single" w:color="auto" w:sz="8" w:space="0"/>
              <w:right w:val="single" w:color="auto" w:sz="8" w:space="0"/>
            </w:tcBorders>
            <w:tcW w:w="323"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w:t>
            </w:r>
            <w:r/>
          </w:p>
        </w:tc>
        <w:tc>
          <w:tcPr>
            <w:tcBorders>
              <w:top w:val="none" w:color="000000" w:sz="4" w:space="0"/>
              <w:left w:val="none" w:color="000000" w:sz="4" w:space="0"/>
              <w:bottom w:val="single" w:color="auto" w:sz="8" w:space="0"/>
              <w:right w:val="single" w:color="auto" w:sz="8" w:space="0"/>
            </w:tcBorders>
            <w:tcW w:w="588"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225391</w:t>
            </w:r>
            <w:r/>
          </w:p>
        </w:tc>
        <w:tc>
          <w:tcPr>
            <w:tcBorders>
              <w:top w:val="none" w:color="000000" w:sz="4" w:space="0"/>
              <w:left w:val="none" w:color="000000" w:sz="4" w:space="0"/>
              <w:bottom w:val="single" w:color="auto" w:sz="8" w:space="0"/>
              <w:right w:val="single" w:color="auto" w:sz="8" w:space="0"/>
            </w:tcBorders>
            <w:tcW w:w="566"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r>
      <w:tr>
        <w:trPr>
          <w:trHeight w:val="480"/>
        </w:trPr>
        <w:tc>
          <w:tcPr>
            <w:shd w:val="clear" w:color="000000" w:fill="bfbfbf"/>
            <w:tcBorders>
              <w:top w:val="none" w:color="000000" w:sz="4" w:space="0"/>
              <w:left w:val="single" w:color="auto" w:sz="8" w:space="0"/>
              <w:bottom w:val="single" w:color="auto" w:sz="8" w:space="0"/>
              <w:right w:val="single" w:color="auto" w:sz="8" w:space="0"/>
            </w:tcBorders>
            <w:tcW w:w="372"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w:t>
            </w:r>
            <w:r/>
          </w:p>
        </w:tc>
        <w:tc>
          <w:tcPr>
            <w:gridSpan w:val="6"/>
            <w:shd w:val="clear" w:color="000000" w:fill="bfbfbf"/>
            <w:tcBorders>
              <w:top w:val="none" w:color="000000" w:sz="4" w:space="0"/>
              <w:left w:val="none" w:color="000000" w:sz="4" w:space="0"/>
              <w:bottom w:val="single" w:color="auto" w:sz="8" w:space="0"/>
              <w:right w:val="single" w:color="auto" w:sz="8" w:space="0"/>
            </w:tcBorders>
            <w:tcW w:w="4627"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车管所相关设备维保　</w:t>
            </w:r>
            <w:r/>
          </w:p>
        </w:tc>
      </w:tr>
      <w:tr>
        <w:trPr>
          <w:trHeight w:val="1440"/>
        </w:trPr>
        <w:tc>
          <w:tcPr>
            <w:tcBorders>
              <w:top w:val="none" w:color="000000" w:sz="4" w:space="0"/>
              <w:left w:val="single" w:color="auto" w:sz="8" w:space="0"/>
              <w:bottom w:val="single" w:color="auto" w:sz="8" w:space="0"/>
              <w:right w:val="single" w:color="auto" w:sz="8" w:space="0"/>
            </w:tcBorders>
            <w:tcW w:w="372"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4.1</w:t>
            </w:r>
            <w:r/>
          </w:p>
        </w:tc>
        <w:tc>
          <w:tcPr>
            <w:tcBorders>
              <w:top w:val="none" w:color="000000" w:sz="4" w:space="0"/>
              <w:left w:val="none" w:color="000000" w:sz="4" w:space="0"/>
              <w:bottom w:val="single" w:color="auto" w:sz="8" w:space="0"/>
              <w:right w:val="single" w:color="auto" w:sz="8" w:space="0"/>
            </w:tcBorders>
            <w:tcW w:w="708"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设备维保</w:t>
            </w:r>
            <w:r/>
          </w:p>
        </w:tc>
        <w:tc>
          <w:tcPr>
            <w:tcBorders>
              <w:top w:val="none" w:color="000000" w:sz="4" w:space="0"/>
              <w:left w:val="none" w:color="000000" w:sz="4" w:space="0"/>
              <w:bottom w:val="single" w:color="auto" w:sz="8" w:space="0"/>
              <w:right w:val="single" w:color="auto" w:sz="8" w:space="0"/>
            </w:tcBorders>
            <w:tcW w:w="2078"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对车管所的服务器、安全产品、交换机等产品延保、设备维修及配件更换、专业技术支持等服务。对机房内网络进行管理配置，保障网络畅通，对网络故障进行诊断分析，并提交诊断报告。（主要包含约170台设备）</w:t>
            </w:r>
            <w:r/>
          </w:p>
        </w:tc>
        <w:tc>
          <w:tcPr>
            <w:tcBorders>
              <w:top w:val="none" w:color="000000" w:sz="4" w:space="0"/>
              <w:left w:val="none" w:color="000000" w:sz="4" w:space="0"/>
              <w:bottom w:val="single" w:color="auto" w:sz="8" w:space="0"/>
              <w:right w:val="single" w:color="auto" w:sz="8" w:space="0"/>
            </w:tcBorders>
            <w:tcW w:w="363"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项</w:t>
            </w:r>
            <w:r/>
          </w:p>
        </w:tc>
        <w:tc>
          <w:tcPr>
            <w:tcBorders>
              <w:top w:val="none" w:color="000000" w:sz="4" w:space="0"/>
              <w:left w:val="none" w:color="000000" w:sz="4" w:space="0"/>
              <w:bottom w:val="single" w:color="auto" w:sz="8" w:space="0"/>
              <w:right w:val="single" w:color="auto" w:sz="8" w:space="0"/>
            </w:tcBorders>
            <w:tcW w:w="323"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w:t>
            </w:r>
            <w:r/>
          </w:p>
        </w:tc>
        <w:tc>
          <w:tcPr>
            <w:tcBorders>
              <w:top w:val="none" w:color="000000" w:sz="4" w:space="0"/>
              <w:left w:val="none" w:color="000000" w:sz="4" w:space="0"/>
              <w:bottom w:val="single" w:color="auto" w:sz="8" w:space="0"/>
              <w:right w:val="single" w:color="auto" w:sz="8" w:space="0"/>
            </w:tcBorders>
            <w:tcW w:w="588"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80000</w:t>
            </w:r>
            <w:r/>
          </w:p>
        </w:tc>
        <w:tc>
          <w:tcPr>
            <w:tcBorders>
              <w:top w:val="none" w:color="000000" w:sz="4" w:space="0"/>
              <w:left w:val="none" w:color="000000" w:sz="4" w:space="0"/>
              <w:bottom w:val="single" w:color="auto" w:sz="8" w:space="0"/>
              <w:right w:val="single" w:color="auto" w:sz="8" w:space="0"/>
            </w:tcBorders>
            <w:tcW w:w="566"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　</w:t>
            </w:r>
            <w:r/>
          </w:p>
        </w:tc>
      </w:tr>
      <w:tr>
        <w:trPr>
          <w:trHeight w:val="960"/>
        </w:trPr>
        <w:tc>
          <w:tcPr>
            <w:tcBorders>
              <w:top w:val="none" w:color="000000" w:sz="4" w:space="0"/>
              <w:left w:val="single" w:color="auto" w:sz="8" w:space="0"/>
              <w:bottom w:val="single" w:color="auto" w:sz="8" w:space="0"/>
              <w:right w:val="single" w:color="auto" w:sz="8" w:space="0"/>
            </w:tcBorders>
            <w:tcW w:w="372"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4.2</w:t>
            </w:r>
            <w:r/>
          </w:p>
        </w:tc>
        <w:tc>
          <w:tcPr>
            <w:tcBorders>
              <w:top w:val="none" w:color="000000" w:sz="4" w:space="0"/>
              <w:left w:val="none" w:color="000000" w:sz="4" w:space="0"/>
              <w:bottom w:val="single" w:color="auto" w:sz="8" w:space="0"/>
              <w:right w:val="single" w:color="auto" w:sz="8" w:space="0"/>
            </w:tcBorders>
            <w:tcW w:w="708"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机房环境设备维保</w:t>
            </w:r>
            <w:r/>
          </w:p>
        </w:tc>
        <w:tc>
          <w:tcPr>
            <w:tcBorders>
              <w:top w:val="none" w:color="000000" w:sz="4" w:space="0"/>
              <w:left w:val="none" w:color="000000" w:sz="4" w:space="0"/>
              <w:bottom w:val="single" w:color="auto" w:sz="8" w:space="0"/>
              <w:right w:val="single" w:color="auto" w:sz="8" w:space="0"/>
            </w:tcBorders>
            <w:tcW w:w="2078"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两台20KW精密空调维保，原UPS并机有一台已损坏无法使用，拆除并机后单机运行。新建机柜未接入UPS系统中，需搭线接入</w:t>
            </w:r>
            <w:r/>
          </w:p>
        </w:tc>
        <w:tc>
          <w:tcPr>
            <w:tcBorders>
              <w:top w:val="none" w:color="000000" w:sz="4" w:space="0"/>
              <w:left w:val="none" w:color="000000" w:sz="4" w:space="0"/>
              <w:bottom w:val="single" w:color="auto" w:sz="8" w:space="0"/>
              <w:right w:val="single" w:color="auto" w:sz="8" w:space="0"/>
            </w:tcBorders>
            <w:tcW w:w="363"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项</w:t>
            </w:r>
            <w:r/>
          </w:p>
        </w:tc>
        <w:tc>
          <w:tcPr>
            <w:tcBorders>
              <w:top w:val="none" w:color="000000" w:sz="4" w:space="0"/>
              <w:left w:val="none" w:color="000000" w:sz="4" w:space="0"/>
              <w:bottom w:val="single" w:color="auto" w:sz="8" w:space="0"/>
              <w:right w:val="single" w:color="auto" w:sz="8" w:space="0"/>
            </w:tcBorders>
            <w:tcW w:w="323"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w:t>
            </w:r>
            <w:r/>
          </w:p>
        </w:tc>
        <w:tc>
          <w:tcPr>
            <w:tcBorders>
              <w:top w:val="none" w:color="000000" w:sz="4" w:space="0"/>
              <w:left w:val="none" w:color="000000" w:sz="4" w:space="0"/>
              <w:bottom w:val="single" w:color="auto" w:sz="8" w:space="0"/>
              <w:right w:val="single" w:color="auto" w:sz="8" w:space="0"/>
            </w:tcBorders>
            <w:tcW w:w="588"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50000</w:t>
            </w:r>
            <w:r/>
          </w:p>
        </w:tc>
        <w:tc>
          <w:tcPr>
            <w:tcBorders>
              <w:top w:val="none" w:color="000000" w:sz="4" w:space="0"/>
              <w:left w:val="none" w:color="000000" w:sz="4" w:space="0"/>
              <w:bottom w:val="single" w:color="auto" w:sz="8" w:space="0"/>
              <w:right w:val="single" w:color="auto" w:sz="8" w:space="0"/>
            </w:tcBorders>
            <w:tcW w:w="566"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　</w:t>
            </w:r>
            <w:r/>
          </w:p>
        </w:tc>
      </w:tr>
      <w:tr>
        <w:trPr>
          <w:trHeight w:val="285"/>
        </w:trPr>
        <w:tc>
          <w:tcPr>
            <w:tcBorders>
              <w:top w:val="none" w:color="000000" w:sz="4" w:space="0"/>
              <w:left w:val="single" w:color="auto" w:sz="8" w:space="0"/>
              <w:bottom w:val="single" w:color="auto" w:sz="8" w:space="0"/>
              <w:right w:val="single" w:color="auto" w:sz="8" w:space="0"/>
            </w:tcBorders>
            <w:tcW w:w="372"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4.3</w:t>
            </w:r>
            <w:r/>
          </w:p>
        </w:tc>
        <w:tc>
          <w:tcPr>
            <w:tcBorders>
              <w:top w:val="none" w:color="000000" w:sz="4" w:space="0"/>
              <w:left w:val="none" w:color="000000" w:sz="4" w:space="0"/>
              <w:bottom w:val="single" w:color="auto" w:sz="8" w:space="0"/>
              <w:right w:val="single" w:color="auto" w:sz="8" w:space="0"/>
            </w:tcBorders>
            <w:tcW w:w="708"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监控维保</w:t>
            </w:r>
            <w:r/>
          </w:p>
        </w:tc>
        <w:tc>
          <w:tcPr>
            <w:tcBorders>
              <w:top w:val="none" w:color="000000" w:sz="4" w:space="0"/>
              <w:left w:val="none" w:color="000000" w:sz="4" w:space="0"/>
              <w:bottom w:val="single" w:color="auto" w:sz="8" w:space="0"/>
              <w:right w:val="single" w:color="auto" w:sz="8" w:space="0"/>
            </w:tcBorders>
            <w:tcW w:w="2078"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车管所内监控维保（共240台）</w:t>
            </w:r>
            <w:r/>
          </w:p>
        </w:tc>
        <w:tc>
          <w:tcPr>
            <w:tcBorders>
              <w:top w:val="none" w:color="000000" w:sz="4" w:space="0"/>
              <w:left w:val="none" w:color="000000" w:sz="4" w:space="0"/>
              <w:bottom w:val="single" w:color="auto" w:sz="8" w:space="0"/>
              <w:right w:val="single" w:color="auto" w:sz="8" w:space="0"/>
            </w:tcBorders>
            <w:tcW w:w="363"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项</w:t>
            </w:r>
            <w:r/>
          </w:p>
        </w:tc>
        <w:tc>
          <w:tcPr>
            <w:tcBorders>
              <w:top w:val="none" w:color="000000" w:sz="4" w:space="0"/>
              <w:left w:val="none" w:color="000000" w:sz="4" w:space="0"/>
              <w:bottom w:val="single" w:color="auto" w:sz="8" w:space="0"/>
              <w:right w:val="single" w:color="auto" w:sz="8" w:space="0"/>
            </w:tcBorders>
            <w:tcW w:w="323"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w:t>
            </w:r>
            <w:r/>
          </w:p>
        </w:tc>
        <w:tc>
          <w:tcPr>
            <w:tcBorders>
              <w:top w:val="none" w:color="000000" w:sz="4" w:space="0"/>
              <w:left w:val="none" w:color="000000" w:sz="4" w:space="0"/>
              <w:bottom w:val="single" w:color="auto" w:sz="8" w:space="0"/>
              <w:right w:val="single" w:color="auto" w:sz="8" w:space="0"/>
            </w:tcBorders>
            <w:tcW w:w="588"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15000</w:t>
            </w:r>
            <w:r/>
          </w:p>
        </w:tc>
        <w:tc>
          <w:tcPr>
            <w:tcBorders>
              <w:top w:val="none" w:color="000000" w:sz="4" w:space="0"/>
              <w:left w:val="none" w:color="000000" w:sz="4" w:space="0"/>
              <w:bottom w:val="single" w:color="auto" w:sz="8" w:space="0"/>
              <w:right w:val="single" w:color="auto" w:sz="8" w:space="0"/>
            </w:tcBorders>
            <w:tcW w:w="566"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　</w:t>
            </w:r>
            <w:r/>
          </w:p>
        </w:tc>
      </w:tr>
    </w:tbl>
    <w:p>
      <w:pPr>
        <w:jc w:val="center"/>
        <w:keepLines w:val="0"/>
        <w:keepNext w:val="0"/>
        <w:pageBreakBefore w:val="0"/>
        <w:spacing w:before="120" w:after="120" w:line="400" w:lineRule="atLeast"/>
        <w:widowControl w:val="off"/>
        <w:rPr>
          <w:rFonts w:hint="default"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注：2.1、2.2、2.3、2.4四项费用投标报价时不可改变，否则作无效投标文件处理。</w:t>
      </w:r>
      <w:r/>
    </w:p>
    <w:p>
      <w:pPr>
        <w:pStyle w:val="1148"/>
        <w:numPr>
          <w:ilvl w:val="1"/>
          <w:numId w:val="0"/>
        </w:numPr>
        <w:jc w:val="both"/>
        <w:tabs>
          <w:tab w:val="left" w:pos="2552" w:leader="none"/>
        </w:tabs>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七、商务要求</w:t>
      </w:r>
      <w:r/>
    </w:p>
    <w:p>
      <w:pPr>
        <w:pStyle w:val="1148"/>
        <w:numPr>
          <w:ilvl w:val="1"/>
          <w:numId w:val="0"/>
        </w:numPr>
        <w:jc w:val="both"/>
        <w:tabs>
          <w:tab w:val="left" w:pos="2552"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1.合同履行期限：自合同签订之日起15个月。</w:t>
      </w:r>
      <w:r/>
    </w:p>
    <w:p>
      <w:pPr>
        <w:spacing w:line="360" w:lineRule="auto"/>
        <w:rPr>
          <w:rFonts w:ascii="宋体" w:hAnsi="宋体" w:cs="仿宋"/>
          <w:color w:val="auto"/>
          <w:sz w:val="24"/>
          <w:highlight w:val="none"/>
        </w:rPr>
      </w:pPr>
      <w:r>
        <w:rPr>
          <w:rFonts w:hint="eastAsia" w:ascii="宋体" w:hAnsi="宋体" w:eastAsia="宋体" w:cs="宋体"/>
          <w:b w:val="0"/>
          <w:bCs w:val="0"/>
          <w:color w:val="auto"/>
          <w:sz w:val="24"/>
          <w:szCs w:val="24"/>
          <w:highlight w:val="none"/>
          <w:lang w:val="en-US" w:eastAsia="zh-CN" w:bidi="ar-SA"/>
        </w:rPr>
        <w:t xml:space="preserve">2.付款方式：</w:t>
      </w:r>
      <w:r>
        <w:rPr>
          <w:rFonts w:hint="eastAsia" w:ascii="宋体" w:hAnsi="宋体" w:cs="仿宋"/>
          <w:color w:val="auto"/>
          <w:sz w:val="24"/>
          <w:highlight w:val="none"/>
        </w:rPr>
        <w:t xml:space="preserve">合同签订后30日内支付30%</w:t>
      </w:r>
      <w:r>
        <w:rPr>
          <w:rFonts w:hint="eastAsia" w:ascii="宋体" w:hAnsi="宋体" w:cs="仿宋"/>
          <w:color w:val="auto"/>
          <w:sz w:val="24"/>
          <w:highlight w:val="none"/>
          <w:lang w:val="en-US" w:eastAsia="zh-CN"/>
        </w:rPr>
        <w:t xml:space="preserve">的</w:t>
      </w:r>
      <w:r>
        <w:rPr>
          <w:rFonts w:hint="eastAsia" w:ascii="宋体" w:hAnsi="宋体" w:cs="仿宋"/>
          <w:color w:val="auto"/>
          <w:sz w:val="24"/>
          <w:highlight w:val="none"/>
        </w:rPr>
        <w:t xml:space="preserve">合同款，</w:t>
      </w:r>
      <w:r>
        <w:rPr>
          <w:rFonts w:hint="eastAsia" w:ascii="宋体" w:hAnsi="宋体" w:cs="仿宋"/>
          <w:color w:val="auto"/>
          <w:sz w:val="24"/>
          <w:highlight w:val="none"/>
          <w:lang w:val="en-US" w:eastAsia="zh-CN"/>
        </w:rPr>
        <w:t xml:space="preserve">项目</w:t>
      </w:r>
      <w:r>
        <w:rPr>
          <w:rFonts w:hint="eastAsia" w:ascii="宋体" w:hAnsi="宋体" w:cs="仿宋"/>
          <w:color w:val="auto"/>
          <w:sz w:val="24"/>
          <w:highlight w:val="none"/>
        </w:rPr>
        <w:t xml:space="preserve">验收合格后</w:t>
      </w:r>
      <w:r>
        <w:rPr>
          <w:rFonts w:hint="eastAsia" w:ascii="宋体" w:hAnsi="宋体" w:cs="仿宋"/>
          <w:color w:val="auto"/>
          <w:sz w:val="24"/>
          <w:highlight w:val="none"/>
          <w:lang w:val="en-US" w:eastAsia="zh-CN"/>
        </w:rPr>
        <w:t xml:space="preserve">付至合同款的70%，经结算审计后付至审计价的100%，本项目所涉及款项皆不计取利息。</w:t>
      </w:r>
      <w:r/>
    </w:p>
    <w:p>
      <w:pPr>
        <w:rPr>
          <w:b/>
          <w:bCs/>
          <w:color w:val="auto"/>
          <w:sz w:val="32"/>
          <w:szCs w:val="32"/>
          <w:highlight w:val="none"/>
        </w:rPr>
      </w:pPr>
      <w:r>
        <w:rPr>
          <w:b/>
          <w:bCs/>
          <w:color w:val="auto"/>
          <w:sz w:val="32"/>
          <w:szCs w:val="32"/>
          <w:highlight w:val="none"/>
        </w:rPr>
        <w:br w:type="page" w:clear="all"/>
      </w:r>
      <w:r/>
    </w:p>
    <w:p>
      <w:pPr>
        <w:ind w:right="25"/>
        <w:jc w:val="center"/>
        <w:spacing w:before="26" w:line="360" w:lineRule="auto"/>
        <w:rPr>
          <w:b/>
          <w:bCs/>
          <w:color w:val="auto"/>
          <w:sz w:val="32"/>
          <w:szCs w:val="32"/>
          <w:highlight w:val="none"/>
        </w:rPr>
      </w:pPr>
      <w:r>
        <w:rPr>
          <w:b/>
          <w:bCs/>
          <w:color w:val="auto"/>
          <w:sz w:val="32"/>
          <w:szCs w:val="32"/>
          <w:highlight w:val="none"/>
        </w:rPr>
        <w:t xml:space="preserve">第五章 评审方法和评审标准</w:t>
      </w:r>
      <w:bookmarkEnd w:id="154"/>
      <w:r/>
      <w:r/>
    </w:p>
    <w:p>
      <w:pPr>
        <w:ind w:firstLine="482"/>
        <w:spacing w:line="440" w:lineRule="exact"/>
        <w:rPr>
          <w:rFonts w:ascii="宋体" w:hAnsi="宋体" w:cs="宋体"/>
          <w:b/>
          <w:bCs/>
          <w:color w:val="auto"/>
          <w:sz w:val="24"/>
          <w:highlight w:val="none"/>
        </w:rPr>
      </w:pPr>
      <w:r/>
      <w:bookmarkStart w:id="164" w:name="_Toc31610"/>
      <w:r>
        <w:rPr>
          <w:rFonts w:hint="eastAsia" w:ascii="宋体" w:hAnsi="宋体" w:cs="宋体"/>
          <w:b/>
          <w:bCs/>
          <w:color w:val="auto"/>
          <w:sz w:val="24"/>
          <w:highlight w:val="none"/>
        </w:rPr>
        <w:t xml:space="preserve">一、评审方法</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1.评审方法采用综合评分法，总分值为100分。</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2.评审时，对每个有效投标供应商的投标响应文件进行评分，对评委的评分进行统计汇总，按算术平均方法计算出每个投标供应商的评审得分。（分值保留小数点后2位）</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3.评标结果按评审后得分由高到低顺序排列。得分相同的，按投标报价由低到高顺序排列。得分且投标报价相同的</w:t>
      </w:r>
      <w:r>
        <w:rPr>
          <w:rFonts w:hint="eastAsia"/>
          <w:color w:val="auto"/>
          <w:sz w:val="24"/>
          <w:highlight w:val="none"/>
        </w:rPr>
        <w:t xml:space="preserve">按照技术指标优劣顺序推荐</w:t>
      </w:r>
      <w:r>
        <w:rPr>
          <w:rFonts w:hint="eastAsia" w:ascii="宋体" w:hAnsi="宋体" w:cs="宋体"/>
          <w:color w:val="auto"/>
          <w:sz w:val="24"/>
          <w:highlight w:val="none"/>
        </w:rPr>
        <w:t xml:space="preserve">。投标文件满足</w:t>
      </w:r>
      <w:r>
        <w:rPr>
          <w:rFonts w:hint="eastAsia"/>
          <w:color w:val="auto"/>
          <w:sz w:val="24"/>
          <w:highlight w:val="none"/>
        </w:rPr>
        <w:t xml:space="preserve">磋商</w:t>
      </w:r>
      <w:r>
        <w:rPr>
          <w:rFonts w:hint="eastAsia" w:ascii="宋体" w:hAnsi="宋体" w:cs="宋体"/>
          <w:color w:val="auto"/>
          <w:sz w:val="24"/>
          <w:highlight w:val="none"/>
        </w:rPr>
        <w:t xml:space="preserve">文件全部实质性要求，且按照评审因素的量化指标评审得分最高的投标供应商为成交供应商。如上述因素均相同，则采用抽签方式确定成交候选顺序。</w:t>
      </w:r>
      <w:r/>
    </w:p>
    <w:p>
      <w:pPr>
        <w:ind w:firstLine="482"/>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二、评分标准（总分100分）</w:t>
      </w:r>
      <w:r/>
    </w:p>
    <w:tbl>
      <w:tblPr>
        <w:tblStyle w:val="1157"/>
        <w:tblW w:w="9087" w:type="dxa"/>
        <w:tblInd w:w="93" w:type="dxa"/>
        <w:tblLayout w:type="fixed"/>
        <w:tblCellMar>
          <w:left w:w="108" w:type="dxa"/>
          <w:top w:w="0" w:type="dxa"/>
          <w:right w:w="108" w:type="dxa"/>
          <w:bottom w:w="0" w:type="dxa"/>
        </w:tblCellMar>
        <w:tblLook w:val="04A0" w:firstRow="1" w:lastRow="0" w:firstColumn="1" w:lastColumn="0" w:noHBand="0" w:noVBand="1"/>
      </w:tblPr>
      <w:tblGrid>
        <w:gridCol w:w="1069"/>
        <w:gridCol w:w="7100"/>
        <w:gridCol w:w="918"/>
      </w:tblGrid>
      <w:tr>
        <w:trPr>
          <w:trHeight w:val="993"/>
        </w:trPr>
        <w:tc>
          <w:tcPr>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jc w:val="center"/>
              <w:spacing w:line="360" w:lineRule="auto"/>
              <w:widowControl/>
              <w:rPr>
                <w:rFonts w:ascii="宋体" w:hAnsi="宋体"/>
                <w:b/>
                <w:bCs/>
                <w:color w:val="auto"/>
                <w:szCs w:val="21"/>
                <w:highlight w:val="none"/>
              </w:rPr>
            </w:pPr>
            <w:r>
              <w:rPr>
                <w:rFonts w:hint="eastAsia" w:ascii="宋体" w:hAnsi="宋体"/>
                <w:b/>
                <w:bCs/>
                <w:color w:val="auto"/>
                <w:szCs w:val="21"/>
                <w:highlight w:val="none"/>
              </w:rPr>
              <w:t xml:space="preserve">评分点</w:t>
            </w:r>
            <w:r/>
          </w:p>
        </w:tc>
        <w:tc>
          <w:tcPr>
            <w:tcBorders>
              <w:top w:val="single" w:color="auto" w:sz="4" w:space="0"/>
              <w:left w:val="single" w:color="auto" w:sz="4" w:space="0"/>
              <w:bottom w:val="single" w:color="auto" w:sz="4" w:space="0"/>
              <w:right w:val="single" w:color="auto" w:sz="4" w:space="0"/>
            </w:tcBorders>
            <w:tcW w:w="7100" w:type="dxa"/>
            <w:vAlign w:val="center"/>
            <w:textDirection w:val="lrTb"/>
            <w:noWrap w:val="false"/>
          </w:tcPr>
          <w:p>
            <w:pPr>
              <w:jc w:val="center"/>
              <w:spacing w:line="360" w:lineRule="auto"/>
              <w:widowControl/>
              <w:rPr>
                <w:rFonts w:ascii="宋体" w:hAnsi="宋体"/>
                <w:b/>
                <w:bCs/>
                <w:color w:val="auto"/>
                <w:szCs w:val="21"/>
                <w:highlight w:val="none"/>
              </w:rPr>
            </w:pPr>
            <w:r>
              <w:rPr>
                <w:rFonts w:hint="eastAsia" w:ascii="宋体" w:hAnsi="宋体"/>
                <w:b/>
                <w:bCs/>
                <w:color w:val="auto"/>
                <w:szCs w:val="21"/>
                <w:highlight w:val="none"/>
              </w:rPr>
              <w:t xml:space="preserve">评审标准</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360" w:lineRule="auto"/>
              <w:widowControl/>
              <w:rPr>
                <w:rFonts w:ascii="宋体" w:hAnsi="宋体"/>
                <w:b/>
                <w:bCs/>
                <w:color w:val="auto"/>
                <w:szCs w:val="21"/>
                <w:highlight w:val="none"/>
              </w:rPr>
            </w:pPr>
            <w:r>
              <w:rPr>
                <w:rFonts w:hint="eastAsia" w:ascii="宋体" w:hAnsi="宋体"/>
                <w:b/>
                <w:bCs/>
                <w:color w:val="auto"/>
                <w:szCs w:val="21"/>
                <w:highlight w:val="none"/>
              </w:rPr>
              <w:t xml:space="preserve">分值</w:t>
            </w:r>
            <w:r/>
          </w:p>
        </w:tc>
      </w:tr>
      <w:tr>
        <w:trPr>
          <w:trHeight w:val="1376"/>
        </w:trPr>
        <w:tc>
          <w:tcPr>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jc w:val="center"/>
              <w:spacing w:line="360" w:lineRule="auto"/>
              <w:widowControl/>
              <w:rPr>
                <w:rFonts w:ascii="宋体" w:hAnsi="宋体" w:cs="宋体"/>
                <w:b w:val="0"/>
                <w:bCs/>
                <w:color w:val="auto"/>
                <w:szCs w:val="21"/>
                <w:highlight w:val="none"/>
              </w:rPr>
            </w:pPr>
            <w:r>
              <w:rPr>
                <w:rFonts w:hint="eastAsia" w:ascii="宋体" w:hAnsi="宋体" w:cs="宋体"/>
                <w:b w:val="0"/>
                <w:bCs/>
                <w:color w:val="auto"/>
                <w:szCs w:val="21"/>
                <w:highlight w:val="none"/>
              </w:rPr>
              <w:t xml:space="preserve">价格分</w:t>
            </w:r>
            <w:r/>
          </w:p>
        </w:tc>
        <w:tc>
          <w:tcPr>
            <w:tcBorders>
              <w:top w:val="single" w:color="auto" w:sz="4" w:space="0"/>
              <w:left w:val="single" w:color="auto" w:sz="4" w:space="0"/>
              <w:bottom w:val="single" w:color="auto" w:sz="4" w:space="0"/>
              <w:right w:val="single" w:color="auto" w:sz="4" w:space="0"/>
            </w:tcBorders>
            <w:tcW w:w="7100" w:type="dxa"/>
            <w:vAlign w:val="center"/>
            <w:textDirection w:val="lrTb"/>
            <w:noWrap w:val="false"/>
          </w:tcPr>
          <w:p>
            <w:pPr>
              <w:jc w:val="left"/>
              <w:spacing w:line="360" w:lineRule="auto"/>
              <w:widowControl/>
              <w:rPr>
                <w:color w:val="auto"/>
                <w:szCs w:val="21"/>
                <w:highlight w:val="none"/>
              </w:rPr>
            </w:pPr>
            <w:r>
              <w:rPr>
                <w:rFonts w:hint="eastAsia" w:ascii="宋体" w:hAnsi="宋体" w:cs="宋体"/>
                <w:color w:val="auto"/>
                <w:szCs w:val="21"/>
                <w:highlight w:val="none"/>
              </w:rPr>
              <w:t xml:space="preserve">价格分采用低价优先法计算，即满足磋商文件要求且最终报价最低的为评标基准价，其价格分为满分。其他供应商的价格分统一按照下列公式计算（小数点保留两位）：报价得分=(评标基准价／最终报价)×20。</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20分</w:t>
            </w:r>
            <w:r/>
          </w:p>
        </w:tc>
      </w:tr>
      <w:tr>
        <w:trPr>
          <w:trHeight w:val="2693"/>
        </w:trPr>
        <w:tc>
          <w:tcPr>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jc w:val="center"/>
              <w:spacing w:line="360" w:lineRule="auto"/>
              <w:widowControl/>
              <w:rPr>
                <w:rFonts w:ascii="宋体" w:hAnsi="宋体" w:cs="宋体"/>
                <w:b w:val="0"/>
                <w:bCs/>
                <w:color w:val="auto"/>
                <w:szCs w:val="21"/>
                <w:highlight w:val="none"/>
              </w:rPr>
            </w:pPr>
            <w:r>
              <w:rPr>
                <w:rFonts w:hint="eastAsia" w:ascii="宋体" w:hAnsi="宋体" w:cs="宋体"/>
                <w:b w:val="0"/>
                <w:bCs/>
                <w:color w:val="auto"/>
                <w:szCs w:val="21"/>
                <w:highlight w:val="none"/>
              </w:rPr>
              <w:t xml:space="preserve">企业实力</w:t>
            </w:r>
            <w:r/>
          </w:p>
        </w:tc>
        <w:tc>
          <w:tcPr>
            <w:tcBorders>
              <w:top w:val="single" w:color="auto" w:sz="4" w:space="0"/>
              <w:left w:val="single" w:color="auto" w:sz="4" w:space="0"/>
              <w:bottom w:val="single" w:color="auto" w:sz="4" w:space="0"/>
              <w:right w:val="single" w:color="auto" w:sz="4" w:space="0"/>
            </w:tcBorders>
            <w:tcW w:w="7100" w:type="dxa"/>
            <w:vAlign w:val="center"/>
            <w:textDirection w:val="lrTb"/>
            <w:noWrap w:val="false"/>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（1）具有ITSS信息技术服务运行维护标准符合性证书的，得2分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不提供不得分。</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（2）具有中国信息安全测评中心颁发的信息安全服务资质证书的，得2分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不提供不得分。</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（3）具有</w:t>
            </w:r>
            <w:r>
              <w:rPr>
                <w:rFonts w:hint="eastAsia" w:ascii="宋体" w:hAnsi="宋体" w:cs="宋体"/>
                <w:color w:val="auto"/>
                <w:szCs w:val="21"/>
                <w:highlight w:val="none"/>
              </w:rPr>
              <w:t xml:space="preserve">有效期内的ISO9001质量管理体系认证证书的，得2分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不提供不得分。</w:t>
            </w:r>
            <w:r/>
          </w:p>
          <w:p>
            <w:pPr>
              <w:jc w:val="left"/>
              <w:spacing w:line="360" w:lineRule="auto"/>
              <w:widowControl/>
              <w:rPr>
                <w:rFonts w:ascii="宋体" w:hAnsi="宋体" w:cs="宋体"/>
                <w:color w:val="auto"/>
                <w:szCs w:val="21"/>
                <w:highlight w:val="none"/>
              </w:rPr>
            </w:pPr>
            <w:r>
              <w:rPr>
                <w:rFonts w:hint="eastAsia" w:ascii="宋体" w:hAnsi="宋体" w:cs="宋体"/>
                <w:b/>
                <w:bCs/>
                <w:color w:val="auto"/>
                <w:szCs w:val="21"/>
                <w:highlight w:val="none"/>
              </w:rPr>
              <w:t xml:space="preserve">注：响应文件提供有效期内的证书扫描件并加盖供应商公章，未提供不得分。</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tc>
      </w:tr>
      <w:tr>
        <w:trPr>
          <w:trHeight w:val="1683"/>
        </w:trPr>
        <w:tc>
          <w:tcPr>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jc w:val="center"/>
              <w:spacing w:line="360" w:lineRule="auto"/>
              <w:widowControl/>
              <w:rPr>
                <w:rFonts w:hint="eastAsia" w:ascii="宋体" w:hAnsi="宋体" w:cs="宋体"/>
                <w:b w:val="0"/>
                <w:bCs/>
                <w:color w:val="auto"/>
                <w:szCs w:val="21"/>
                <w:highlight w:val="none"/>
              </w:rPr>
            </w:pPr>
            <w:r>
              <w:rPr>
                <w:rFonts w:hint="eastAsia" w:ascii="宋体" w:hAnsi="宋体" w:cs="宋体"/>
                <w:color w:val="auto"/>
                <w:szCs w:val="21"/>
                <w:highlight w:val="none"/>
              </w:rPr>
              <w:t xml:space="preserve">企业业绩</w:t>
            </w:r>
            <w:r/>
          </w:p>
        </w:tc>
        <w:tc>
          <w:tcPr>
            <w:tcBorders>
              <w:top w:val="single" w:color="auto" w:sz="4" w:space="0"/>
              <w:left w:val="single" w:color="auto" w:sz="4" w:space="0"/>
              <w:bottom w:val="single" w:color="auto" w:sz="4" w:space="0"/>
              <w:right w:val="single" w:color="auto" w:sz="4" w:space="0"/>
            </w:tcBorders>
            <w:tcW w:w="7100"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供应商自2022年1月1日（以合同签订时间为准）至今，承担过类似项目（包括但不限于机房设备、智能化信息系统）运维或驻场技术服务案例的，每有一个得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分，最高得</w:t>
            </w: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分。</w:t>
            </w:r>
            <w:r/>
          </w:p>
          <w:p>
            <w:pPr>
              <w:jc w:val="left"/>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注：响应文件中同时提供合同</w:t>
            </w:r>
            <w:r>
              <w:rPr>
                <w:rFonts w:hint="eastAsia" w:ascii="宋体" w:hAnsi="宋体" w:cs="宋体"/>
                <w:b/>
                <w:bCs/>
                <w:color w:val="auto"/>
                <w:szCs w:val="21"/>
                <w:highlight w:val="none"/>
                <w:lang w:val="en-US" w:eastAsia="zh-CN"/>
              </w:rPr>
              <w:t xml:space="preserve">扫描件</w:t>
            </w:r>
            <w:r>
              <w:rPr>
                <w:rFonts w:hint="eastAsia" w:ascii="宋体" w:hAnsi="宋体" w:cs="宋体"/>
                <w:b/>
                <w:bCs/>
                <w:color w:val="auto"/>
                <w:szCs w:val="21"/>
                <w:highlight w:val="none"/>
              </w:rPr>
              <w:t xml:space="preserve">和验收证明（或服务确认单）扫描件并加盖供应商公章，未提供或提供不全的不得分。</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12分</w:t>
            </w:r>
            <w:r/>
          </w:p>
        </w:tc>
      </w:tr>
      <w:tr>
        <w:trPr>
          <w:trHeight w:val="4732"/>
        </w:trPr>
        <w:tc>
          <w:tcPr>
            <w:tcBorders>
              <w:top w:val="single" w:color="auto" w:sz="4" w:space="0"/>
              <w:left w:val="single" w:color="auto" w:sz="4" w:space="0"/>
              <w:right w:val="single" w:color="auto" w:sz="4" w:space="0"/>
            </w:tcBorders>
            <w:tcW w:w="1069" w:type="dxa"/>
            <w:vAlign w:val="center"/>
            <w:textDirection w:val="lrTb"/>
            <w:noWrap w:val="false"/>
          </w:tcPr>
          <w:p>
            <w:pPr>
              <w:jc w:val="center"/>
              <w:spacing w:line="360" w:lineRule="auto"/>
              <w:widowControl/>
              <w:rPr>
                <w:rFonts w:ascii="宋体" w:hAnsi="宋体" w:cs="宋体"/>
                <w:b w:val="0"/>
                <w:bCs/>
                <w:color w:val="auto"/>
                <w:szCs w:val="21"/>
                <w:highlight w:val="none"/>
              </w:rPr>
            </w:pPr>
            <w:r>
              <w:rPr>
                <w:rFonts w:ascii="宋体" w:hAnsi="宋体" w:cs="宋体"/>
                <w:b w:val="0"/>
                <w:bCs/>
                <w:color w:val="auto"/>
                <w:szCs w:val="21"/>
                <w:highlight w:val="none"/>
              </w:rPr>
            </w:r>
            <w:r/>
          </w:p>
          <w:p>
            <w:pPr>
              <w:jc w:val="center"/>
              <w:spacing w:line="360" w:lineRule="auto"/>
              <w:widowControl/>
              <w:rPr>
                <w:rFonts w:ascii="宋体" w:hAnsi="宋体" w:cs="宋体"/>
                <w:b w:val="0"/>
                <w:bCs/>
                <w:color w:val="auto"/>
                <w:szCs w:val="21"/>
                <w:highlight w:val="none"/>
              </w:rPr>
            </w:pPr>
            <w:r>
              <w:rPr>
                <w:rFonts w:ascii="宋体" w:hAnsi="宋体" w:cs="宋体"/>
                <w:b w:val="0"/>
                <w:bCs/>
                <w:color w:val="auto"/>
                <w:szCs w:val="21"/>
                <w:highlight w:val="none"/>
              </w:rPr>
            </w:r>
            <w:r/>
          </w:p>
          <w:p>
            <w:pPr>
              <w:jc w:val="center"/>
              <w:spacing w:line="360" w:lineRule="auto"/>
              <w:widowControl/>
              <w:rPr>
                <w:rFonts w:ascii="宋体" w:hAnsi="宋体" w:cs="宋体"/>
                <w:b w:val="0"/>
                <w:bCs/>
                <w:color w:val="auto"/>
                <w:szCs w:val="21"/>
                <w:highlight w:val="none"/>
              </w:rPr>
            </w:pPr>
            <w:r>
              <w:rPr>
                <w:rFonts w:ascii="宋体" w:hAnsi="宋体" w:cs="宋体"/>
                <w:b w:val="0"/>
                <w:bCs/>
                <w:color w:val="auto"/>
                <w:szCs w:val="21"/>
                <w:highlight w:val="none"/>
              </w:rPr>
            </w:r>
            <w:r/>
          </w:p>
          <w:p>
            <w:pPr>
              <w:jc w:val="center"/>
              <w:spacing w:line="360" w:lineRule="auto"/>
              <w:widowControl/>
              <w:rPr>
                <w:rFonts w:ascii="宋体" w:hAnsi="宋体" w:cs="宋体"/>
                <w:b w:val="0"/>
                <w:bCs/>
                <w:color w:val="auto"/>
                <w:szCs w:val="21"/>
                <w:highlight w:val="none"/>
              </w:rPr>
            </w:pPr>
            <w:r>
              <w:rPr>
                <w:rFonts w:hint="eastAsia" w:ascii="宋体" w:hAnsi="宋体" w:cs="宋体"/>
                <w:b w:val="0"/>
                <w:bCs/>
                <w:color w:val="auto"/>
                <w:szCs w:val="21"/>
                <w:highlight w:val="none"/>
              </w:rPr>
              <w:t xml:space="preserve">拟投入人员</w:t>
            </w:r>
            <w:r/>
          </w:p>
        </w:tc>
        <w:tc>
          <w:tcPr>
            <w:tcBorders>
              <w:top w:val="single" w:color="auto" w:sz="4" w:space="0"/>
              <w:left w:val="single" w:color="auto" w:sz="4" w:space="0"/>
              <w:right w:val="single" w:color="auto" w:sz="4" w:space="0"/>
            </w:tcBorders>
            <w:tcW w:w="7100" w:type="dxa"/>
            <w:vAlign w:val="center"/>
            <w:textDirection w:val="lrTb"/>
            <w:noWrap w:val="false"/>
          </w:tcPr>
          <w:p>
            <w:pPr>
              <w:numPr>
                <w:ilvl w:val="0"/>
                <w:numId w:val="8"/>
              </w:num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为本项目配备的项目经理</w:t>
            </w: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lang w:val="en-US" w:eastAsia="zh-CN"/>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t>
            </w:r>
            <w:r/>
          </w:p>
          <w:p>
            <w:pPr>
              <w:numPr>
                <w:ilvl w:val="0"/>
                <w:numId w:val="0"/>
              </w:numPr>
              <w:jc w:val="left"/>
              <w:spacing w:line="360" w:lineRule="auto"/>
              <w:widowControl/>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bidi="ar"/>
              </w:rPr>
              <w:t xml:space="preserve">具有由人力资源和社会保障部颁发的信息系统项目管理师</w:t>
            </w:r>
            <w:r>
              <w:rPr>
                <w:rStyle w:val="1210"/>
                <w:rFonts w:hint="default"/>
                <w:color w:val="auto"/>
                <w:highlight w:val="none"/>
                <w:lang w:bidi="ar"/>
              </w:rPr>
              <w:t xml:space="preserve">（级别：高级）</w:t>
            </w:r>
            <w:r>
              <w:rPr>
                <w:rFonts w:hint="eastAsia" w:ascii="宋体" w:hAnsi="宋体" w:cs="宋体"/>
                <w:color w:val="auto"/>
                <w:szCs w:val="21"/>
                <w:highlight w:val="none"/>
                <w:lang w:bidi="ar"/>
              </w:rPr>
              <w:t xml:space="preserve">的得3分；具有</w:t>
            </w:r>
            <w:r>
              <w:rPr>
                <w:rFonts w:hint="eastAsia" w:ascii="宋体" w:hAnsi="宋体" w:cs="宋体"/>
                <w:color w:val="auto"/>
                <w:szCs w:val="21"/>
                <w:highlight w:val="none"/>
                <w:lang w:eastAsia="zh-CN" w:bidi="ar"/>
              </w:rPr>
              <w:t xml:space="preserve">由</w:t>
            </w:r>
            <w:r>
              <w:rPr>
                <w:rFonts w:hint="eastAsia" w:ascii="宋体" w:hAnsi="宋体" w:cs="宋体"/>
                <w:color w:val="auto"/>
                <w:szCs w:val="21"/>
                <w:highlight w:val="none"/>
                <w:lang w:bidi="ar"/>
              </w:rPr>
              <w:t xml:space="preserve">人力资源和社会保障部颁发的信息系统管理工程师</w:t>
            </w:r>
            <w:r>
              <w:rPr>
                <w:rStyle w:val="1210"/>
                <w:rFonts w:hint="default"/>
                <w:color w:val="auto"/>
                <w:highlight w:val="none"/>
                <w:lang w:bidi="ar"/>
              </w:rPr>
              <w:t xml:space="preserve">（级别：中级）</w:t>
            </w:r>
            <w:r>
              <w:rPr>
                <w:rFonts w:hint="eastAsia" w:ascii="宋体" w:hAnsi="宋体" w:cs="宋体"/>
                <w:color w:val="auto"/>
                <w:szCs w:val="21"/>
                <w:highlight w:val="none"/>
                <w:lang w:bidi="ar"/>
              </w:rPr>
              <w:t xml:space="preserve">或系统集成项目管理工程师</w:t>
            </w:r>
            <w:r>
              <w:rPr>
                <w:rStyle w:val="1210"/>
                <w:rFonts w:hint="default"/>
                <w:color w:val="auto"/>
                <w:highlight w:val="none"/>
                <w:lang w:bidi="ar"/>
              </w:rPr>
              <w:t xml:space="preserve">（级别：中级）</w:t>
            </w:r>
            <w:r>
              <w:rPr>
                <w:rFonts w:hint="eastAsia" w:ascii="宋体" w:hAnsi="宋体" w:cs="宋体"/>
                <w:color w:val="auto"/>
                <w:szCs w:val="21"/>
                <w:highlight w:val="none"/>
                <w:lang w:bidi="ar"/>
              </w:rPr>
              <w:t xml:space="preserve">的得1分；</w:t>
            </w:r>
            <w:r>
              <w:rPr>
                <w:rFonts w:hint="eastAsia" w:ascii="宋体" w:hAnsi="宋体" w:cs="宋体"/>
                <w:color w:val="auto"/>
                <w:szCs w:val="21"/>
                <w:highlight w:val="none"/>
                <w:lang w:val="en-US" w:eastAsia="zh-CN" w:bidi="ar"/>
              </w:rPr>
              <w:t xml:space="preserve">本项最高得3分。</w:t>
            </w:r>
            <w:r/>
          </w:p>
          <w:p>
            <w:pP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为本项目配备的项目</w:t>
            </w:r>
            <w:r>
              <w:rPr>
                <w:rFonts w:hint="eastAsia" w:ascii="宋体" w:hAnsi="宋体" w:cs="宋体"/>
                <w:color w:val="auto"/>
                <w:szCs w:val="21"/>
                <w:highlight w:val="none"/>
                <w:lang w:val="en-US" w:eastAsia="zh-CN"/>
              </w:rPr>
              <w:t xml:space="preserve">驻场</w:t>
            </w:r>
            <w:r>
              <w:rPr>
                <w:rFonts w:hint="eastAsia" w:ascii="宋体" w:hAnsi="宋体" w:cs="宋体"/>
                <w:color w:val="auto"/>
                <w:szCs w:val="21"/>
                <w:highlight w:val="none"/>
              </w:rPr>
              <w:t xml:space="preserve">成员（不含项目经理</w:t>
            </w:r>
            <w:r>
              <w:rPr>
                <w:rFonts w:hint="eastAsia" w:ascii="宋体" w:hAnsi="宋体" w:cs="宋体"/>
                <w:color w:val="auto"/>
                <w:szCs w:val="21"/>
                <w:highlight w:val="none"/>
                <w:lang w:val="en-US" w:eastAsia="zh-CN"/>
              </w:rPr>
              <w:t xml:space="preserve">和</w:t>
            </w:r>
            <w:r>
              <w:rPr>
                <w:rFonts w:hint="eastAsia" w:ascii="宋体" w:hAnsi="宋体"/>
                <w:color w:val="auto"/>
                <w:sz w:val="21"/>
                <w:szCs w:val="21"/>
                <w:highlight w:val="none"/>
                <w:lang w:val="en-US" w:eastAsia="zh-CN"/>
              </w:rPr>
              <w:t xml:space="preserve">外场维护人员</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（12</w:t>
            </w:r>
            <w:r>
              <w:rPr>
                <w:rFonts w:hint="eastAsia" w:ascii="宋体" w:hAnsi="宋体" w:cs="宋体"/>
                <w:color w:val="auto"/>
                <w:szCs w:val="21"/>
                <w:highlight w:val="none"/>
                <w:lang w:val="en-US" w:eastAsia="zh-CN"/>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t>
            </w:r>
            <w:r/>
          </w:p>
          <w:p>
            <w:pPr>
              <w:jc w:val="left"/>
              <w:spacing w:line="400" w:lineRule="atLeast"/>
              <w:rPr>
                <w:rFonts w:hint="eastAsia" w:ascii="宋体" w:hAnsi="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bidi="ar"/>
              </w:rPr>
              <w:t xml:space="preserve">（1）具有OCP数据库认证证书，每提供一个证书得1.5分，本项最高得3分；</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（2）具有VCP数据库认证证书得1.5分，每提供一个证书，本项最高得3分；</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（3）具有CISP信息安全认证证书得1.5分，每提供一个证书，本项最高得3分；</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（4）具有HCNP/H3CSE等级别网络证书得1.5分，每提供一个证书，本项最高得3分。</w:t>
            </w:r>
            <w:r/>
          </w:p>
          <w:p>
            <w:pPr>
              <w:spacing w:line="400" w:lineRule="atLeast"/>
              <w:rPr>
                <w:rFonts w:hint="eastAsia" w:ascii="宋体" w:hAnsi="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lang w:eastAsia="zh-CN"/>
              </w:rPr>
              <w:t xml:space="preserve">为本项目配备的项目</w:t>
            </w:r>
            <w:r>
              <w:rPr>
                <w:rFonts w:hint="eastAsia" w:ascii="宋体" w:hAnsi="宋体"/>
                <w:color w:val="auto"/>
                <w:sz w:val="21"/>
                <w:szCs w:val="21"/>
                <w:highlight w:val="none"/>
                <w:lang w:val="en-US" w:eastAsia="zh-CN"/>
              </w:rPr>
              <w:t xml:space="preserve">外场维护人员</w:t>
            </w:r>
            <w:r>
              <w:rPr>
                <w:rFonts w:hint="eastAsia" w:ascii="宋体" w:hAnsi="宋体"/>
                <w:color w:val="auto"/>
                <w:sz w:val="21"/>
                <w:szCs w:val="21"/>
                <w:highlight w:val="none"/>
                <w:lang w:eastAsia="zh-CN"/>
              </w:rPr>
              <w:t xml:space="preserve">（不含项目经理</w:t>
            </w:r>
            <w:r>
              <w:rPr>
                <w:rFonts w:hint="eastAsia" w:ascii="宋体" w:hAnsi="宋体"/>
                <w:color w:val="auto"/>
                <w:sz w:val="21"/>
                <w:szCs w:val="21"/>
                <w:highlight w:val="none"/>
                <w:lang w:val="en-US" w:eastAsia="zh-CN"/>
              </w:rPr>
              <w:t xml:space="preserve">和</w:t>
            </w:r>
            <w:r>
              <w:rPr>
                <w:rFonts w:hint="eastAsia" w:ascii="宋体" w:hAnsi="宋体" w:cs="宋体"/>
                <w:color w:val="auto"/>
                <w:szCs w:val="21"/>
                <w:highlight w:val="none"/>
                <w:lang w:val="en-US" w:eastAsia="zh-CN"/>
              </w:rPr>
              <w:t xml:space="preserve">驻场</w:t>
            </w:r>
            <w:r>
              <w:rPr>
                <w:rFonts w:hint="eastAsia" w:ascii="宋体" w:hAnsi="宋体" w:cs="宋体"/>
                <w:color w:val="auto"/>
                <w:szCs w:val="21"/>
                <w:highlight w:val="none"/>
              </w:rPr>
              <w:t xml:space="preserve">成员</w:t>
            </w:r>
            <w:r>
              <w:rPr>
                <w:rFonts w:hint="eastAsia" w:ascii="宋体" w:hAnsi="宋体"/>
                <w:color w:val="auto"/>
                <w:sz w:val="21"/>
                <w:szCs w:val="21"/>
                <w:highlight w:val="none"/>
                <w:lang w:eastAsia="zh-CN"/>
              </w:rPr>
              <w:t xml:space="preserve">）</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2分</w:t>
            </w:r>
            <w:r>
              <w:rPr>
                <w:rFonts w:hint="eastAsia" w:ascii="宋体" w:hAnsi="宋体" w:cs="宋体"/>
                <w:color w:val="auto"/>
                <w:szCs w:val="21"/>
                <w:highlight w:val="none"/>
                <w:lang w:eastAsia="zh-CN"/>
              </w:rPr>
              <w:t xml:space="preserve">）</w:t>
            </w:r>
            <w:r>
              <w:rPr>
                <w:rFonts w:hint="eastAsia" w:ascii="宋体" w:hAnsi="宋体"/>
                <w:color w:val="auto"/>
                <w:sz w:val="21"/>
                <w:szCs w:val="21"/>
                <w:highlight w:val="none"/>
                <w:lang w:eastAsia="zh-CN"/>
              </w:rPr>
              <w:t xml:space="preserve">：</w:t>
            </w:r>
            <w:r/>
          </w:p>
          <w:p>
            <w:pPr>
              <w:spacing w:line="400" w:lineRule="atLeast"/>
              <w:rPr>
                <w:rFonts w:hint="default" w:ascii="宋体" w:hAnsi="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bidi="ar"/>
              </w:rPr>
              <w:t xml:space="preserve">具有由</w:t>
            </w:r>
            <w:r>
              <w:rPr>
                <w:rFonts w:hint="eastAsia" w:ascii="宋体" w:hAnsi="宋体" w:cs="宋体"/>
                <w:b w:val="0"/>
                <w:bCs w:val="0"/>
                <w:color w:val="auto"/>
                <w:szCs w:val="21"/>
                <w:highlight w:val="none"/>
                <w:lang w:bidi="ar"/>
              </w:rPr>
              <w:t xml:space="preserve">中华人民共和国应急管理部颁发</w:t>
            </w:r>
            <w:r>
              <w:rPr>
                <w:rFonts w:hint="eastAsia" w:ascii="宋体" w:hAnsi="宋体" w:cs="宋体"/>
                <w:b w:val="0"/>
                <w:bCs w:val="0"/>
                <w:color w:val="auto"/>
                <w:szCs w:val="21"/>
                <w:highlight w:val="none"/>
                <w:lang w:bidi="ar"/>
              </w:rPr>
              <w:t xml:space="preserve">或</w:t>
            </w:r>
            <w:r>
              <w:rPr>
                <w:rFonts w:ascii="宋体" w:hAnsi="宋体" w:cs="宋体"/>
                <w:b w:val="0"/>
                <w:bCs w:val="0"/>
                <w:color w:val="auto"/>
                <w:szCs w:val="21"/>
                <w:highlight w:val="none"/>
                <w:lang w:bidi="ar"/>
              </w:rPr>
              <w:t xml:space="preserve">人力资源和社会保障部</w:t>
            </w:r>
            <w:r>
              <w:rPr>
                <w:rFonts w:hint="eastAsia" w:ascii="宋体" w:hAnsi="宋体" w:cs="宋体"/>
                <w:b w:val="0"/>
                <w:bCs w:val="0"/>
                <w:color w:val="auto"/>
                <w:szCs w:val="21"/>
                <w:highlight w:val="none"/>
                <w:lang w:bidi="ar"/>
              </w:rPr>
              <w:t xml:space="preserve">颁发（备案）</w:t>
            </w:r>
            <w:r>
              <w:rPr>
                <w:rFonts w:hint="eastAsia" w:ascii="宋体" w:hAnsi="宋体" w:cs="宋体"/>
                <w:color w:val="auto"/>
                <w:szCs w:val="21"/>
                <w:highlight w:val="none"/>
                <w:lang w:bidi="ar"/>
              </w:rPr>
              <w:t xml:space="preserve">的电工证得1分，每提供一个证书，本项最高得2分。</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b/>
                <w:bCs/>
                <w:color w:val="auto"/>
                <w:sz w:val="21"/>
                <w:szCs w:val="21"/>
                <w:highlight w:val="none"/>
              </w:rPr>
              <w:t xml:space="preserve">注：响应文件提供有效期内的证书扫描件并加盖供应商公章，并提供供应商为其缴纳的近三个月（不含投标当月）任意一个月的社保证明，未提供的不得分。</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360" w:lineRule="auto"/>
              <w:widowControl/>
              <w:rPr>
                <w:rFonts w:ascii="宋体" w:hAnsi="宋体" w:cs="宋体"/>
                <w:b/>
                <w:color w:val="auto"/>
                <w:szCs w:val="21"/>
                <w:highlight w:val="none"/>
              </w:rPr>
            </w:pPr>
            <w:r>
              <w:rPr>
                <w:rFonts w:hint="eastAsia" w:ascii="宋体" w:hAnsi="宋体" w:cs="宋体"/>
                <w:color w:val="auto"/>
                <w:szCs w:val="21"/>
                <w:highlight w:val="none"/>
                <w:lang w:val="en-US" w:eastAsia="zh-CN"/>
              </w:rPr>
              <w:t xml:space="preserve">17</w:t>
            </w:r>
            <w:r>
              <w:rPr>
                <w:rFonts w:hint="eastAsia" w:ascii="宋体" w:hAnsi="宋体" w:cs="宋体"/>
                <w:color w:val="auto"/>
                <w:szCs w:val="21"/>
                <w:highlight w:val="none"/>
              </w:rPr>
              <w:t xml:space="preserve">分</w:t>
            </w:r>
            <w:r/>
          </w:p>
        </w:tc>
      </w:tr>
      <w:tr>
        <w:trPr>
          <w:trHeight w:val="4847"/>
        </w:trPr>
        <w:tc>
          <w:tcPr>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spacing w:line="400" w:lineRule="atLeast"/>
              <w:rPr>
                <w:rFonts w:hint="eastAsia"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1"/>
                <w:szCs w:val="24"/>
                <w:highlight w:val="none"/>
                <w:lang w:val="en-US" w:eastAsia="zh-CN" w:bidi="ar-SA"/>
              </w:rPr>
              <w:t xml:space="preserve">前端设备维保服务方案</w:t>
            </w:r>
            <w:r/>
          </w:p>
          <w:p>
            <w:pP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100" w:type="dxa"/>
            <w:vAlign w:val="center"/>
            <w:textDirection w:val="lrTb"/>
            <w:noWrap w:val="false"/>
          </w:tcPr>
          <w:p>
            <w:pPr>
              <w:spacing w:line="400" w:lineRule="atLeast"/>
              <w:rPr>
                <w:rFonts w:hint="eastAsia" w:ascii="宋体" w:hAnsi="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pt-BR"/>
              </w:rPr>
              <w:t xml:space="preserve">根据</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en-US" w:eastAsia="zh-CN"/>
              </w:rPr>
              <w:t xml:space="preserve">针对本项目</w:t>
            </w:r>
            <w:r>
              <w:rPr>
                <w:rFonts w:hint="eastAsia" w:ascii="宋体" w:hAnsi="宋体" w:cs="宋体"/>
                <w:color w:val="auto"/>
                <w:szCs w:val="21"/>
                <w:highlight w:val="none"/>
                <w:lang w:val="pt-BR"/>
              </w:rPr>
              <w:t xml:space="preserve">提供的</w:t>
            </w:r>
            <w:r>
              <w:rPr>
                <w:rFonts w:hint="eastAsia" w:ascii="Times New Roman" w:hAnsi="Times New Roman" w:eastAsia="宋体" w:cs="Times New Roman"/>
                <w:color w:val="auto"/>
                <w:sz w:val="21"/>
                <w:szCs w:val="24"/>
                <w:highlight w:val="none"/>
                <w:lang w:val="en-US" w:eastAsia="zh-CN" w:bidi="ar-SA"/>
              </w:rPr>
              <w:t xml:space="preserve">前端设备维保服务方案</w:t>
            </w:r>
            <w:r>
              <w:rPr>
                <w:rFonts w:hint="eastAsia" w:cs="Times New Roman"/>
                <w:color w:val="auto"/>
                <w:sz w:val="21"/>
                <w:szCs w:val="24"/>
                <w:highlight w:val="none"/>
                <w:lang w:val="en-US" w:eastAsia="zh-CN" w:bidi="ar-SA"/>
              </w:rPr>
              <w:t xml:space="preserve">（</w:t>
            </w:r>
            <w:r>
              <w:rPr>
                <w:rFonts w:hint="eastAsia" w:ascii="Times New Roman" w:hAnsi="Times New Roman" w:eastAsia="宋体" w:cs="Times New Roman"/>
                <w:color w:val="auto"/>
                <w:sz w:val="21"/>
                <w:szCs w:val="24"/>
                <w:highlight w:val="none"/>
                <w:lang w:val="en-US" w:eastAsia="zh-CN" w:bidi="ar-SA"/>
              </w:rPr>
              <w:t xml:space="preserve">包括</w:t>
            </w:r>
            <w:r>
              <w:rPr>
                <w:rFonts w:hint="eastAsia" w:cs="Times New Roman"/>
                <w:color w:val="auto"/>
                <w:sz w:val="21"/>
                <w:szCs w:val="24"/>
                <w:highlight w:val="none"/>
                <w:lang w:val="en-US" w:eastAsia="zh-CN" w:bidi="ar-SA"/>
              </w:rPr>
              <w:t xml:space="preserve">但不限于前端设备现场的重难点分析，前端点位勘察、维保服务内容、维保服务流程、人</w:t>
            </w:r>
            <w:r>
              <w:rPr>
                <w:rFonts w:hint="eastAsia" w:ascii="宋体" w:hAnsi="宋体"/>
                <w:color w:val="auto"/>
                <w:sz w:val="21"/>
                <w:szCs w:val="21"/>
                <w:highlight w:val="none"/>
                <w:lang w:val="en-US" w:eastAsia="zh-CN"/>
              </w:rPr>
              <w:t xml:space="preserve">员安排、</w:t>
            </w:r>
            <w:r>
              <w:rPr>
                <w:rFonts w:hint="eastAsia" w:ascii="宋体" w:hAnsi="宋体" w:cs="宋体"/>
                <w:color w:val="auto"/>
                <w:spacing w:val="1"/>
                <w:highlight w:val="none"/>
              </w:rPr>
              <w:t xml:space="preserve">巡检及问题处理机制</w:t>
            </w:r>
            <w:r>
              <w:rPr>
                <w:rFonts w:hint="eastAsia" w:ascii="宋体" w:hAnsi="宋体"/>
                <w:color w:val="auto"/>
                <w:sz w:val="21"/>
                <w:szCs w:val="21"/>
                <w:highlight w:val="none"/>
                <w:lang w:val="en-US" w:eastAsia="zh-CN"/>
              </w:rPr>
              <w:t xml:space="preserve">等内容</w:t>
            </w:r>
            <w:r>
              <w:rPr>
                <w:rFonts w:hint="eastAsia" w:cs="Times New Roman"/>
                <w:color w:val="auto"/>
                <w:sz w:val="21"/>
                <w:szCs w:val="24"/>
                <w:highlight w:val="none"/>
                <w:lang w:val="en-US" w:eastAsia="zh-CN" w:bidi="ar-SA"/>
              </w:rPr>
              <w:t xml:space="preserve">）进行评分</w:t>
            </w:r>
            <w:r>
              <w:rPr>
                <w:rFonts w:hint="eastAsia" w:ascii="宋体" w:hAnsi="宋体"/>
                <w:color w:val="auto"/>
                <w:sz w:val="21"/>
                <w:szCs w:val="21"/>
                <w:highlight w:val="none"/>
                <w:lang w:val="en-US" w:eastAsia="zh-CN"/>
              </w:rPr>
              <w:t xml:space="preserve">。</w:t>
            </w:r>
            <w:r/>
          </w:p>
          <w:p>
            <w:pPr>
              <w:spacing w:line="400" w:lineRule="atLeast"/>
              <w:rPr>
                <w:rFonts w:hint="eastAsia" w:ascii="宋体" w:hAnsi="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1"/>
                <w:szCs w:val="21"/>
                <w:highlight w:val="none"/>
                <w:lang w:val="en-US" w:eastAsia="zh-CN"/>
              </w:rPr>
              <w:t xml:space="preserve">1.方案内容齐全无缺漏项、内容与要点相符、每个要点均有展开详细的阐述且能够适用于本项目、有添加除以上要点外的其他内容且能够适用于本项目的，得10分；</w:t>
            </w:r>
            <w:r/>
          </w:p>
          <w:p>
            <w:pPr>
              <w:spacing w:line="400" w:lineRule="atLeast"/>
              <w:rPr>
                <w:rFonts w:hint="eastAsia" w:ascii="宋体" w:hAnsi="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1"/>
                <w:szCs w:val="21"/>
                <w:highlight w:val="none"/>
                <w:lang w:val="en-US" w:eastAsia="zh-CN"/>
              </w:rPr>
              <w:t xml:space="preserve">2.方案所包含的要点齐全无缺漏项、内容与要点相符、每个要点均有展开阐述（没有特别具体)但能够适用于本项目的，得7分；</w:t>
            </w:r>
            <w:r/>
          </w:p>
          <w:p>
            <w:pPr>
              <w:spacing w:line="400" w:lineRule="atLeast"/>
              <w:rPr>
                <w:rFonts w:hint="eastAsia" w:ascii="宋体" w:hAnsi="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1"/>
                <w:szCs w:val="21"/>
                <w:highlight w:val="none"/>
                <w:lang w:val="en-US" w:eastAsia="zh-CN"/>
              </w:rPr>
              <w:t xml:space="preserve">3.方案所包含的要点有缺漏项、内容与要点相符合但仅有纲要、内容简略，未展开详细阐述但能够适用于本项目的，得4分；</w:t>
            </w:r>
            <w:r/>
          </w:p>
          <w:p>
            <w:pPr>
              <w:spacing w:line="400" w:lineRule="atLeast"/>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1"/>
                <w:szCs w:val="21"/>
                <w:highlight w:val="none"/>
                <w:lang w:val="en-US" w:eastAsia="zh-CN"/>
              </w:rPr>
              <w:t xml:space="preserve">4.方案未提供或内容存在明显错误、内容明显不适用于本项目需求的均不得分。</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r>
            <w:r/>
          </w:p>
          <w:p>
            <w:pPr>
              <w:jc w:val="cente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tc>
      </w:tr>
      <w:tr>
        <w:trPr>
          <w:trHeight w:val="90"/>
        </w:trPr>
        <w:tc>
          <w:tcPr>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spacing w:line="400" w:lineRule="atLeast"/>
              <w:rPr>
                <w:rFonts w:hint="eastAsia"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color w:val="auto"/>
                <w:highlight w:val="none"/>
              </w:rPr>
              <w:t xml:space="preserve">后端机房维保方案</w:t>
            </w:r>
            <w:r/>
          </w:p>
          <w:p>
            <w:pPr>
              <w:rPr>
                <w:rFonts w:hint="eastAsia"/>
                <w:color w:val="auto"/>
                <w:highlight w:val="none"/>
              </w:rPr>
            </w:pPr>
            <w:r>
              <w:rPr>
                <w:rFonts w:hint="eastAsia"/>
                <w:color w:val="auto"/>
                <w:highlight w:val="none"/>
              </w:rPr>
            </w:r>
            <w:r/>
          </w:p>
        </w:tc>
        <w:tc>
          <w:tcPr>
            <w:tcBorders>
              <w:top w:val="single" w:color="auto" w:sz="4" w:space="0"/>
              <w:left w:val="single" w:color="auto" w:sz="4" w:space="0"/>
              <w:bottom w:val="single" w:color="auto" w:sz="4" w:space="0"/>
              <w:right w:val="single" w:color="auto" w:sz="4" w:space="0"/>
            </w:tcBorders>
            <w:tcW w:w="7100" w:type="dxa"/>
            <w:vAlign w:val="center"/>
            <w:textDirection w:val="lrTb"/>
            <w:noWrap w:val="false"/>
          </w:tcPr>
          <w:p>
            <w:pPr>
              <w:spacing w:line="400" w:lineRule="atLeast"/>
              <w:rPr>
                <w:rFonts w:hint="eastAsia"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pt-BR"/>
              </w:rPr>
              <w:t xml:space="preserve">根据</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en-US" w:eastAsia="zh-CN"/>
              </w:rPr>
              <w:t xml:space="preserve">针对本项目</w:t>
            </w:r>
            <w:r>
              <w:rPr>
                <w:rFonts w:hint="eastAsia" w:ascii="Times New Roman" w:hAnsi="Times New Roman" w:eastAsia="宋体" w:cs="Times New Roman"/>
                <w:color w:val="auto"/>
                <w:sz w:val="21"/>
                <w:szCs w:val="24"/>
                <w:highlight w:val="none"/>
                <w:lang w:val="en-US" w:eastAsia="zh-CN" w:bidi="ar-SA"/>
              </w:rPr>
              <w:t xml:space="preserve">提供的后端机房维保方案</w:t>
            </w:r>
            <w:r>
              <w:rPr>
                <w:rFonts w:hint="eastAsia" w:cs="Times New Roman"/>
                <w:color w:val="auto"/>
                <w:sz w:val="21"/>
                <w:szCs w:val="24"/>
                <w:highlight w:val="none"/>
                <w:lang w:val="en-US" w:eastAsia="zh-CN" w:bidi="ar-SA"/>
              </w:rPr>
              <w:t xml:space="preserve">（包括但不限于后端机房重难点分析、</w:t>
            </w:r>
            <w:r>
              <w:rPr>
                <w:rFonts w:hint="eastAsia" w:ascii="Times New Roman" w:hAnsi="Times New Roman" w:eastAsia="宋体" w:cs="Times New Roman"/>
                <w:color w:val="auto"/>
                <w:sz w:val="21"/>
                <w:szCs w:val="24"/>
                <w:highlight w:val="none"/>
                <w:lang w:val="en-US" w:eastAsia="zh-CN" w:bidi="ar-SA"/>
              </w:rPr>
              <w:t xml:space="preserve">用户环境分析、用户机房实际布局图、电力系统拓扑图、维保</w:t>
            </w:r>
            <w:r>
              <w:rPr>
                <w:rFonts w:hint="eastAsia" w:cs="Times New Roman"/>
                <w:color w:val="auto"/>
                <w:sz w:val="21"/>
                <w:szCs w:val="24"/>
                <w:highlight w:val="none"/>
                <w:lang w:val="en-US" w:eastAsia="zh-CN" w:bidi="ar-SA"/>
              </w:rPr>
              <w:t xml:space="preserve">服务</w:t>
            </w:r>
            <w:r>
              <w:rPr>
                <w:rFonts w:hint="eastAsia" w:ascii="Times New Roman" w:hAnsi="Times New Roman" w:eastAsia="宋体" w:cs="Times New Roman"/>
                <w:color w:val="auto"/>
                <w:sz w:val="21"/>
                <w:szCs w:val="24"/>
                <w:highlight w:val="none"/>
                <w:lang w:val="en-US" w:eastAsia="zh-CN" w:bidi="ar-SA"/>
              </w:rPr>
              <w:t xml:space="preserve">内容、人员安排、应急处置等内容</w:t>
            </w:r>
            <w:r>
              <w:rPr>
                <w:rFonts w:hint="eastAsia" w:cs="Times New Roman"/>
                <w:color w:val="auto"/>
                <w:sz w:val="21"/>
                <w:szCs w:val="24"/>
                <w:highlight w:val="none"/>
                <w:lang w:val="en-US" w:eastAsia="zh-CN" w:bidi="ar-SA"/>
              </w:rPr>
              <w:t xml:space="preserve">）进行评分。</w:t>
            </w:r>
            <w:r/>
          </w:p>
          <w:p>
            <w:pPr>
              <w:spacing w:line="400" w:lineRule="atLeast"/>
              <w:rPr>
                <w:rFonts w:hint="eastAsia" w:ascii="宋体" w:hAnsi="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1"/>
                <w:szCs w:val="21"/>
                <w:highlight w:val="none"/>
                <w:lang w:val="en-US" w:eastAsia="zh-CN"/>
              </w:rPr>
              <w:t xml:space="preserve">1.方案内容齐全无缺漏项、内容与要点相符、每个要点均有展开详细的阐述且能够适用于本项目、有添加除以上要点外的其他内容且能够适用于本项目的，得10分；</w:t>
            </w:r>
            <w:r/>
          </w:p>
          <w:p>
            <w:pPr>
              <w:spacing w:line="400" w:lineRule="atLeast"/>
              <w:rPr>
                <w:rFonts w:hint="eastAsia" w:ascii="宋体" w:hAnsi="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1"/>
                <w:szCs w:val="21"/>
                <w:highlight w:val="none"/>
                <w:lang w:val="en-US" w:eastAsia="zh-CN"/>
              </w:rPr>
              <w:t xml:space="preserve">2.方案所包含的要点齐全无缺漏项、内容与要点相符、每个要点均有展开阐述(没有特别具体)但能够适用于本项目的，得7分；</w:t>
            </w:r>
            <w:r/>
          </w:p>
          <w:p>
            <w:pPr>
              <w:spacing w:line="400" w:lineRule="atLeast"/>
              <w:rPr>
                <w:rFonts w:hint="eastAsia" w:ascii="宋体" w:hAnsi="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1"/>
                <w:szCs w:val="21"/>
                <w:highlight w:val="none"/>
                <w:lang w:val="en-US" w:eastAsia="zh-CN"/>
              </w:rPr>
              <w:t xml:space="preserve">3.方案所包含的要点有缺漏项、内容与要点相符合但仅有纲要、内容简略，未展开详细阐述但能够适用于本项目的，得4分；</w:t>
            </w:r>
            <w:r/>
          </w:p>
          <w:p>
            <w:pPr>
              <w:spacing w:line="40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1"/>
                <w:szCs w:val="21"/>
                <w:highlight w:val="none"/>
                <w:lang w:val="en-US" w:eastAsia="zh-CN"/>
              </w:rPr>
              <w:t xml:space="preserve">4.方案未提供或内容存在明显错误、内容明显不适用于本项目需求的均不得分。</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tc>
      </w:tr>
      <w:tr>
        <w:trPr>
          <w:trHeight w:val="355"/>
        </w:trPr>
        <w:tc>
          <w:tcPr>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pStyle w:val="1208"/>
              <w:ind w:left="0" w:firstLine="0"/>
              <w:jc w:val="left"/>
              <w:spacing w:before="0" w:beforeAutospacing="0" w:after="0" w:afterAutospacing="0"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备品备件方案</w:t>
            </w:r>
            <w:r/>
          </w:p>
        </w:tc>
        <w:tc>
          <w:tcPr>
            <w:tcBorders>
              <w:top w:val="single" w:color="auto" w:sz="4" w:space="0"/>
              <w:left w:val="single" w:color="auto" w:sz="4" w:space="0"/>
              <w:bottom w:val="single" w:color="auto" w:sz="4" w:space="0"/>
              <w:right w:val="single" w:color="auto" w:sz="4" w:space="0"/>
            </w:tcBorders>
            <w:tcW w:w="7100" w:type="dxa"/>
            <w:vAlign w:val="center"/>
            <w:textDirection w:val="lrTb"/>
            <w:noWrap w:val="false"/>
          </w:tcPr>
          <w:p>
            <w:pPr>
              <w:pStyle w:val="1208"/>
              <w:ind w:left="0" w:firstLine="0"/>
              <w:spacing w:before="0" w:beforeAutospacing="0" w:after="0" w:afterAutospacing="0" w:line="360" w:lineRule="auto"/>
              <w:rPr>
                <w:rFonts w:hint="eastAsia" w:ascii="宋体" w:hAnsi="宋体"/>
                <w:color w:val="auto"/>
                <w:sz w:val="21"/>
                <w:szCs w:val="21"/>
                <w:highlight w:val="none"/>
                <w:lang w:val="en-US" w:eastAsia="zh-CN"/>
              </w:rPr>
            </w:pPr>
            <w:r>
              <w:rPr>
                <w:rFonts w:hint="eastAsia" w:ascii="Times New Roman" w:hAnsi="Times New Roman" w:eastAsia="宋体" w:cs="Times New Roman"/>
                <w:color w:val="auto"/>
                <w:sz w:val="21"/>
                <w:szCs w:val="24"/>
                <w:highlight w:val="none"/>
                <w:lang w:val="pt-BR" w:eastAsia="zh-CN" w:bidi="ar-SA"/>
              </w:rPr>
              <w:t xml:space="preserve">根据</w:t>
            </w:r>
            <w:r>
              <w:rPr>
                <w:rFonts w:hint="eastAsia" w:ascii="Times New Roman" w:hAnsi="Times New Roman" w:eastAsia="宋体" w:cs="Times New Roman"/>
                <w:color w:val="auto"/>
                <w:sz w:val="21"/>
                <w:szCs w:val="24"/>
                <w:highlight w:val="none"/>
                <w:lang w:val="en-US" w:eastAsia="zh-CN" w:bidi="ar-SA"/>
              </w:rPr>
              <w:t xml:space="preserve">供应商针对本项目提供</w:t>
            </w:r>
            <w:r>
              <w:rPr>
                <w:rFonts w:hint="eastAsia" w:cs="Times New Roman"/>
                <w:color w:val="auto"/>
                <w:sz w:val="21"/>
                <w:szCs w:val="24"/>
                <w:highlight w:val="none"/>
                <w:lang w:val="en-US" w:eastAsia="zh-CN" w:bidi="ar-SA"/>
              </w:rPr>
              <w:t xml:space="preserve">的</w:t>
            </w:r>
            <w:r>
              <w:rPr>
                <w:rFonts w:hint="eastAsia" w:ascii="宋体" w:hAnsi="宋体"/>
                <w:color w:val="auto"/>
                <w:sz w:val="21"/>
                <w:szCs w:val="21"/>
                <w:highlight w:val="none"/>
                <w:lang w:val="en-US" w:eastAsia="zh-CN"/>
              </w:rPr>
              <w:t xml:space="preserve">备品备件提供方案（应包括但不限于零配件和备件种类、数量配置科学合理等内容）</w:t>
            </w:r>
            <w:r>
              <w:rPr>
                <w:rFonts w:hint="eastAsia" w:cs="Times New Roman"/>
                <w:color w:val="auto"/>
                <w:sz w:val="21"/>
                <w:szCs w:val="24"/>
                <w:highlight w:val="none"/>
                <w:lang w:val="en-US" w:eastAsia="zh-CN" w:bidi="ar-SA"/>
              </w:rPr>
              <w:t xml:space="preserve">进行评分</w:t>
            </w:r>
            <w:r>
              <w:rPr>
                <w:rFonts w:hint="eastAsia" w:ascii="宋体" w:hAnsi="宋体"/>
                <w:color w:val="auto"/>
                <w:sz w:val="21"/>
                <w:szCs w:val="21"/>
                <w:highlight w:val="none"/>
                <w:lang w:val="en-US" w:eastAsia="zh-CN"/>
              </w:rPr>
              <w:t xml:space="preserve">。</w:t>
            </w:r>
            <w:r/>
          </w:p>
          <w:p>
            <w:pPr>
              <w:pStyle w:val="1208"/>
              <w:ind w:left="0" w:firstLine="0"/>
              <w:spacing w:before="0" w:beforeAutospacing="0" w:after="0" w:afterAutospacing="0"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1.方案内容齐全无缺漏项、内容与要点相符、每个要点均有展开详细的阐述且能够适用于本项目、有添加除以上要点外的其他内容且能够适用于本项目的，得5分；</w:t>
            </w:r>
            <w:r/>
          </w:p>
          <w:p>
            <w:pPr>
              <w:pStyle w:val="1208"/>
              <w:ind w:left="0" w:firstLine="0"/>
              <w:spacing w:before="0" w:beforeAutospacing="0" w:after="0" w:afterAutospacing="0"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2.方案所包含的要点齐全无缺漏项、内容与要点相符、每个要点均有展开阐述(没有特别具体)但能够适用于本项目的，得3分；</w:t>
            </w:r>
            <w:r/>
          </w:p>
          <w:p>
            <w:pPr>
              <w:pStyle w:val="1208"/>
              <w:ind w:left="0" w:firstLine="0"/>
              <w:spacing w:before="0" w:beforeAutospacing="0" w:after="0" w:afterAutospacing="0"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3.方案所包含的要点有缺漏项、内容与要点相符合但仅有纲要、内容简略，未展开详细阐述但能够适用于本项目的，得1分；</w:t>
            </w:r>
            <w:r/>
          </w:p>
          <w:p>
            <w:pPr>
              <w:pStyle w:val="1208"/>
              <w:ind w:left="0" w:firstLine="0"/>
              <w:spacing w:before="0" w:beforeAutospacing="0" w:after="0" w:afterAutospacing="0"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4.方案未提供或内容存在明显错误、内容明显不适用于本项目需求的均不得分。</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atLeast"/>
              <w:rPr>
                <w:rFonts w:hint="default" w:ascii="宋体" w:hAnsi="宋体" w:eastAsia="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5分</w:t>
            </w:r>
            <w:r/>
          </w:p>
        </w:tc>
      </w:tr>
      <w:tr>
        <w:trPr>
          <w:trHeight w:val="617"/>
        </w:trPr>
        <w:tc>
          <w:tcPr>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应急方案</w:t>
            </w:r>
            <w:r/>
          </w:p>
        </w:tc>
        <w:tc>
          <w:tcPr>
            <w:tcBorders>
              <w:top w:val="single" w:color="auto" w:sz="4" w:space="0"/>
              <w:left w:val="single" w:color="auto" w:sz="4" w:space="0"/>
              <w:bottom w:val="single" w:color="auto" w:sz="4" w:space="0"/>
              <w:right w:val="single" w:color="auto" w:sz="4" w:space="0"/>
            </w:tcBorders>
            <w:tcW w:w="7100" w:type="dxa"/>
            <w:vAlign w:val="center"/>
            <w:textDirection w:val="lrTb"/>
            <w:noWrap w:val="false"/>
          </w:tcPr>
          <w:p>
            <w:pPr>
              <w:spacing w:line="400" w:lineRule="atLeast"/>
              <w:rPr>
                <w:rFonts w:hint="eastAsia"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bookmarkStart w:id="165" w:name="OLE_LINK30"/>
            <w:r/>
            <w:bookmarkEnd w:id="165"/>
            <w:r>
              <w:rPr>
                <w:rFonts w:hint="eastAsia" w:ascii="Times New Roman" w:hAnsi="Times New Roman" w:eastAsia="宋体" w:cs="Times New Roman"/>
                <w:color w:val="auto"/>
                <w:sz w:val="21"/>
                <w:szCs w:val="24"/>
                <w:highlight w:val="none"/>
                <w:lang w:val="pt-BR" w:eastAsia="zh-CN" w:bidi="ar-SA"/>
              </w:rPr>
              <w:t xml:space="preserve">根据</w:t>
            </w:r>
            <w:r>
              <w:rPr>
                <w:rFonts w:hint="eastAsia" w:ascii="Times New Roman" w:hAnsi="Times New Roman" w:eastAsia="宋体" w:cs="Times New Roman"/>
                <w:color w:val="auto"/>
                <w:sz w:val="21"/>
                <w:szCs w:val="24"/>
                <w:highlight w:val="none"/>
                <w:lang w:val="en-US" w:eastAsia="zh-CN" w:bidi="ar-SA"/>
              </w:rPr>
              <w:t xml:space="preserve">供应商针对本项目提供的应急保障运维方案（包括但不限于应急处理流程及应急处理机构人员架构；黑客攻击；漏水、长时间停电、盗抢或人为损害；通讯网络故障及核心设备硬件故障处理应急线路调试、应急信息化设备供应、现场运维值守等内容）进行评分。</w:t>
            </w:r>
            <w:r/>
          </w:p>
          <w:p>
            <w:pPr>
              <w:spacing w:line="400" w:lineRule="atLeast"/>
              <w:rPr>
                <w:rFonts w:hint="eastAsia"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1"/>
                <w:szCs w:val="24"/>
                <w:highlight w:val="none"/>
                <w:lang w:val="en-US" w:eastAsia="zh-CN" w:bidi="ar-SA"/>
              </w:rPr>
              <w:t xml:space="preserve">1.方案内容齐全无缺漏项、内容与要点相符、每个要点均有展开详细的阐述且能够适用于本项目、有添加除以上要点外的其他内容且能够适用于本项目的，得5分；</w:t>
            </w:r>
            <w:r/>
          </w:p>
          <w:p>
            <w:pPr>
              <w:spacing w:line="400" w:lineRule="atLeast"/>
              <w:rPr>
                <w:rFonts w:hint="eastAsia"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1"/>
                <w:szCs w:val="24"/>
                <w:highlight w:val="none"/>
                <w:lang w:val="en-US" w:eastAsia="zh-CN" w:bidi="ar-SA"/>
              </w:rPr>
              <w:t xml:space="preserve">2.方案所包含的要点齐全无缺漏项、内容与要点相符、每个要点均有展开阐述(没有特别具体)但能够适用于本项目的，得3分；</w:t>
            </w:r>
            <w:r/>
          </w:p>
          <w:p>
            <w:pPr>
              <w:spacing w:line="400" w:lineRule="atLeast"/>
              <w:rPr>
                <w:rFonts w:hint="eastAsia"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1"/>
                <w:szCs w:val="24"/>
                <w:highlight w:val="none"/>
                <w:lang w:val="en-US" w:eastAsia="zh-CN" w:bidi="ar-SA"/>
              </w:rPr>
              <w:t xml:space="preserve">3.方案所包含的要点有缺漏项、内容与要点相符合但仅有纲要、内容简略，未展开详细阐述但能够适用于本项目的，得1分；</w:t>
            </w:r>
            <w:r/>
          </w:p>
          <w:p>
            <w:pPr>
              <w:spacing w:line="400" w:lineRule="atLeast"/>
              <w:rPr>
                <w:rFonts w:hint="eastAsia"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1"/>
                <w:szCs w:val="24"/>
                <w:highlight w:val="none"/>
                <w:lang w:val="en-US" w:eastAsia="zh-CN" w:bidi="ar-SA"/>
              </w:rPr>
              <w:t xml:space="preserve">4.方案未提供或内容存在明显错误、内容明显不适用于本项目需求的均不得分</w:t>
            </w:r>
            <w:r>
              <w:rPr>
                <w:rFonts w:hint="eastAsia" w:cs="Times New Roman"/>
                <w:color w:val="auto"/>
                <w:sz w:val="21"/>
                <w:szCs w:val="24"/>
                <w:highlight w:val="none"/>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5分</w:t>
            </w:r>
            <w:r/>
          </w:p>
        </w:tc>
      </w:tr>
      <w:tr>
        <w:trPr>
          <w:trHeight w:val="454"/>
        </w:trPr>
        <w:tc>
          <w:tcPr>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售后服务方案</w:t>
            </w:r>
            <w:r/>
          </w:p>
        </w:tc>
        <w:tc>
          <w:tcPr>
            <w:tcBorders>
              <w:top w:val="single" w:color="auto" w:sz="4" w:space="0"/>
              <w:left w:val="single" w:color="auto" w:sz="4" w:space="0"/>
              <w:bottom w:val="single" w:color="auto" w:sz="4" w:space="0"/>
              <w:right w:val="single" w:color="auto" w:sz="4" w:space="0"/>
            </w:tcBorders>
            <w:tcW w:w="7100" w:type="dxa"/>
            <w:vAlign w:val="center"/>
            <w:textDirection w:val="lrTb"/>
            <w:noWrap w:val="false"/>
          </w:tcPr>
          <w:p>
            <w:pP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1"/>
                <w:szCs w:val="24"/>
                <w:highlight w:val="none"/>
                <w:lang w:val="pt-BR" w:eastAsia="zh-CN" w:bidi="ar-SA"/>
              </w:rPr>
              <w:t xml:space="preserve">根据</w:t>
            </w:r>
            <w:r>
              <w:rPr>
                <w:rFonts w:hint="eastAsia" w:ascii="Times New Roman" w:hAnsi="Times New Roman" w:eastAsia="宋体" w:cs="Times New Roman"/>
                <w:color w:val="auto"/>
                <w:sz w:val="21"/>
                <w:szCs w:val="24"/>
                <w:highlight w:val="none"/>
                <w:lang w:val="en-US" w:eastAsia="zh-CN" w:bidi="ar-SA"/>
              </w:rPr>
              <w:t xml:space="preserve">供应商针对本项目</w:t>
            </w:r>
            <w:r>
              <w:rPr>
                <w:rFonts w:hint="eastAsia" w:ascii="宋体" w:hAnsi="宋体" w:cs="宋体"/>
                <w:color w:val="auto"/>
                <w:szCs w:val="21"/>
                <w:highlight w:val="none"/>
                <w:lang w:val="en-US" w:eastAsia="zh-CN"/>
              </w:rPr>
              <w:t xml:space="preserve">提供</w:t>
            </w:r>
            <w:r>
              <w:rPr>
                <w:rFonts w:hint="eastAsia" w:ascii="宋体" w:hAnsi="宋体" w:cs="宋体"/>
                <w:color w:val="auto"/>
                <w:szCs w:val="21"/>
                <w:highlight w:val="none"/>
              </w:rPr>
              <w:t xml:space="preserve">的售后服务方案</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案</w:t>
            </w:r>
            <w:r>
              <w:rPr>
                <w:rFonts w:hint="eastAsia" w:ascii="宋体" w:hAnsi="宋体" w:cs="宋体"/>
                <w:color w:val="auto"/>
                <w:szCs w:val="21"/>
                <w:highlight w:val="none"/>
              </w:rPr>
              <w:t xml:space="preserve">包括但不限于服务承诺、服务体系、服务内容、方式、专业的技术服务团队及其他资源保障等内容</w:t>
            </w:r>
            <w:r>
              <w:rPr>
                <w:rFonts w:hint="eastAsia" w:ascii="宋体" w:hAnsi="宋体" w:cs="宋体"/>
                <w:color w:val="auto"/>
                <w:szCs w:val="21"/>
                <w:highlight w:val="none"/>
                <w:lang w:eastAsia="zh-CN"/>
              </w:rPr>
              <w:t xml:space="preserve">）</w:t>
            </w:r>
            <w:r>
              <w:rPr>
                <w:rFonts w:hint="eastAsia" w:cs="Times New Roman"/>
                <w:color w:val="auto"/>
                <w:sz w:val="21"/>
                <w:szCs w:val="24"/>
                <w:highlight w:val="none"/>
                <w:lang w:val="en-US" w:eastAsia="zh-CN" w:bidi="ar-SA"/>
              </w:rPr>
              <w:t xml:space="preserve">进行评分</w:t>
            </w:r>
            <w:r>
              <w:rPr>
                <w:rFonts w:hint="eastAsia" w:ascii="宋体" w:hAnsi="宋体" w:cs="宋体"/>
                <w:color w:val="auto"/>
                <w:szCs w:val="21"/>
                <w:highlight w:val="none"/>
              </w:rPr>
              <w:t xml:space="preserve">。</w:t>
            </w:r>
            <w:r/>
          </w:p>
          <w:p>
            <w:pPr>
              <w:pStyle w:val="1208"/>
              <w:ind w:left="0" w:firstLine="0"/>
              <w:spacing w:before="0" w:beforeAutospacing="0" w:after="0" w:afterAutospacing="0"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1.方案内容齐全无缺漏项、内容与要点相符、每个要点均有展开详细的阐述且能够适用于本项目、有添加除以上要点外的其他内容且能够适用于本项目的，得5分；</w:t>
            </w:r>
            <w:r/>
          </w:p>
          <w:p>
            <w:pPr>
              <w:pStyle w:val="1208"/>
              <w:ind w:left="0" w:firstLine="0"/>
              <w:spacing w:before="0" w:beforeAutospacing="0" w:after="0" w:afterAutospacing="0"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2.方案所包含的要点齐全无缺漏项、内容与要点相符、每个要点均有展开阐述(没有特别具体)但能够适用于本项目的，得3分；</w:t>
            </w:r>
            <w:r/>
          </w:p>
          <w:p>
            <w:pPr>
              <w:pStyle w:val="1208"/>
              <w:ind w:left="0" w:firstLine="0"/>
              <w:spacing w:before="0" w:beforeAutospacing="0" w:after="0" w:afterAutospacing="0"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3.方案所包含的要点有缺漏项、内容与要点相符合但仅有纲要、内容简略，未展开详细阐述但能够适用于本项目的，得1分；</w:t>
            </w:r>
            <w:r/>
          </w:p>
          <w:p>
            <w:pP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1"/>
                <w:szCs w:val="21"/>
                <w:highlight w:val="none"/>
                <w:lang w:val="en-US" w:eastAsia="zh-CN"/>
              </w:rPr>
              <w:t xml:space="preserve">4.方案未提供或内容存在明显错误、内容明显不适用于本项目需求的均不得分。</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tc>
      </w:tr>
      <w:tr>
        <w:trPr>
          <w:trHeight w:val="454"/>
        </w:trPr>
        <w:tc>
          <w:tcPr>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培训方案</w:t>
            </w:r>
            <w:r/>
          </w:p>
        </w:tc>
        <w:tc>
          <w:tcPr>
            <w:tcBorders>
              <w:top w:val="single" w:color="auto" w:sz="4" w:space="0"/>
              <w:left w:val="single" w:color="auto" w:sz="4" w:space="0"/>
              <w:bottom w:val="single" w:color="auto" w:sz="4" w:space="0"/>
              <w:right w:val="single" w:color="auto" w:sz="4" w:space="0"/>
            </w:tcBorders>
            <w:tcW w:w="7100" w:type="dxa"/>
            <w:vAlign w:val="center"/>
            <w:textDirection w:val="lrTb"/>
            <w:noWrap w:val="false"/>
          </w:tcPr>
          <w:p>
            <w:pPr>
              <w:spacing w:line="400" w:lineRule="atLeast"/>
              <w:rPr>
                <w:rFonts w:ascii="宋体" w:hAnsi="宋体" w:cs="宋体"/>
                <w:b w:val="0"/>
                <w:bCs w:val="0"/>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1"/>
                <w:szCs w:val="24"/>
                <w:highlight w:val="none"/>
                <w:lang w:val="pt-BR" w:eastAsia="zh-CN" w:bidi="ar-SA"/>
              </w:rPr>
              <w:t xml:space="preserve">根据</w:t>
            </w:r>
            <w:r>
              <w:rPr>
                <w:rFonts w:hint="eastAsia" w:ascii="Times New Roman" w:hAnsi="Times New Roman" w:eastAsia="宋体" w:cs="Times New Roman"/>
                <w:color w:val="auto"/>
                <w:sz w:val="21"/>
                <w:szCs w:val="24"/>
                <w:highlight w:val="none"/>
                <w:lang w:val="en-US" w:eastAsia="zh-CN" w:bidi="ar-SA"/>
              </w:rPr>
              <w:t xml:space="preserve">供应商针</w:t>
            </w:r>
            <w:r>
              <w:rPr>
                <w:rFonts w:hint="eastAsia" w:cs="Times New Roman"/>
                <w:color w:val="auto"/>
                <w:sz w:val="21"/>
                <w:szCs w:val="24"/>
                <w:highlight w:val="none"/>
                <w:lang w:val="en-US" w:eastAsia="zh-CN" w:bidi="ar-SA"/>
              </w:rPr>
              <w:t xml:space="preserve">对本项目</w:t>
            </w:r>
            <w:r>
              <w:rPr>
                <w:rFonts w:hint="eastAsia" w:ascii="宋体" w:hAnsi="宋体" w:cs="宋体"/>
                <w:b w:val="0"/>
                <w:bCs w:val="0"/>
                <w:color w:val="auto"/>
                <w:szCs w:val="21"/>
                <w:highlight w:val="none"/>
                <w:lang w:val="en-US" w:eastAsia="zh-CN"/>
              </w:rPr>
              <w:t xml:space="preserve">提供的</w:t>
            </w:r>
            <w:r>
              <w:rPr>
                <w:rFonts w:hint="eastAsia" w:ascii="宋体" w:hAnsi="宋体" w:cs="宋体"/>
                <w:b w:val="0"/>
                <w:bCs w:val="0"/>
                <w:color w:val="auto"/>
                <w:szCs w:val="21"/>
                <w:highlight w:val="none"/>
              </w:rPr>
              <w:t xml:space="preserve">培训计划和工作方案</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rPr>
              <w:t xml:space="preserve">包括但不限于</w:t>
            </w:r>
            <w:r>
              <w:rPr>
                <w:rFonts w:hint="eastAsia" w:ascii="宋体" w:hAnsi="宋体" w:cs="宋体"/>
                <w:b w:val="0"/>
                <w:bCs w:val="0"/>
                <w:color w:val="auto"/>
                <w:szCs w:val="21"/>
                <w:highlight w:val="none"/>
                <w:lang w:bidi="ar"/>
              </w:rPr>
              <w:t xml:space="preserve">整体培训计划；标准化操作培训；常见故障识别及简易维修培训</w:t>
            </w:r>
            <w:r>
              <w:rPr>
                <w:rFonts w:hint="eastAsia" w:ascii="宋体" w:hAnsi="宋体" w:cs="宋体"/>
                <w:b w:val="0"/>
                <w:bCs w:val="0"/>
                <w:color w:val="auto"/>
                <w:szCs w:val="21"/>
                <w:highlight w:val="none"/>
              </w:rPr>
              <w:t xml:space="preserve">等</w:t>
            </w:r>
            <w:r>
              <w:rPr>
                <w:rFonts w:hint="eastAsia" w:ascii="宋体" w:hAnsi="宋体" w:cs="宋体"/>
                <w:b w:val="0"/>
                <w:bCs w:val="0"/>
                <w:color w:val="auto"/>
                <w:szCs w:val="21"/>
                <w:highlight w:val="none"/>
                <w:lang w:val="en-US" w:eastAsia="zh-CN"/>
              </w:rPr>
              <w:t xml:space="preserve">内容</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进行评分</w:t>
            </w:r>
            <w:r>
              <w:rPr>
                <w:rFonts w:hint="eastAsia" w:ascii="宋体" w:hAnsi="宋体" w:cs="宋体"/>
                <w:b w:val="0"/>
                <w:bCs w:val="0"/>
                <w:color w:val="auto"/>
                <w:szCs w:val="21"/>
                <w:highlight w:val="none"/>
              </w:rPr>
              <w:t xml:space="preserve">。</w:t>
            </w:r>
            <w:r/>
          </w:p>
          <w:p>
            <w:pPr>
              <w:spacing w:line="400" w:lineRule="atLeast"/>
              <w:rPr>
                <w:rFonts w:hint="eastAsia"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1"/>
                <w:szCs w:val="24"/>
                <w:highlight w:val="none"/>
                <w:lang w:val="en-US" w:eastAsia="zh-CN" w:bidi="ar-SA"/>
              </w:rPr>
              <w:t xml:space="preserve">1.方案内容齐全无缺漏项、内容与要点相符、每个要点均有展开详细的阐述且能够适用于本项目、有添加除以上要点外的其他内容且能够适用于本项目的，得5分；</w:t>
            </w:r>
            <w:r/>
          </w:p>
          <w:p>
            <w:pPr>
              <w:spacing w:line="400" w:lineRule="atLeast"/>
              <w:rPr>
                <w:rFonts w:hint="eastAsia"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1"/>
                <w:szCs w:val="24"/>
                <w:highlight w:val="none"/>
                <w:lang w:val="en-US" w:eastAsia="zh-CN" w:bidi="ar-SA"/>
              </w:rPr>
              <w:t xml:space="preserve">2.方案所包含的要点齐全无缺漏项、内容与要点相符、每个要点均有展开阐述(没有特别具体)但能够适用于本项目的，得3分；</w:t>
            </w:r>
            <w:r/>
          </w:p>
          <w:p>
            <w:pPr>
              <w:spacing w:line="400" w:lineRule="atLeast"/>
              <w:rPr>
                <w:rFonts w:hint="eastAsia"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1"/>
                <w:szCs w:val="24"/>
                <w:highlight w:val="none"/>
                <w:lang w:val="en-US" w:eastAsia="zh-CN" w:bidi="ar-SA"/>
              </w:rPr>
              <w:t xml:space="preserve">3.方案所包含的要点有缺漏项、内容与要点相符合但仅有纲要、内容简略，未展开详细阐述但能够适用于本项目的，得1分；</w:t>
            </w:r>
            <w:r/>
          </w:p>
          <w:p>
            <w:pP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1"/>
                <w:szCs w:val="24"/>
                <w:highlight w:val="none"/>
                <w:lang w:val="en-US" w:eastAsia="zh-CN" w:bidi="ar-SA"/>
              </w:rPr>
              <w:t xml:space="preserve">4.方案未提供或内容存在明显错误、内容明显不适用于本项目需求的均不得分。</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5分</w:t>
            </w:r>
            <w:r/>
          </w:p>
        </w:tc>
      </w:tr>
      <w:tr>
        <w:trPr>
          <w:trHeight w:val="454"/>
        </w:trPr>
        <w:tc>
          <w:tcPr>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保密管理方案</w:t>
            </w:r>
            <w:r/>
          </w:p>
          <w:p>
            <w:pP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100" w:type="dxa"/>
            <w:vAlign w:val="center"/>
            <w:textDirection w:val="lrTb"/>
            <w:noWrap w:val="false"/>
          </w:tcPr>
          <w:p>
            <w:pPr>
              <w:spacing w:line="400" w:lineRule="atLeast"/>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1"/>
                <w:szCs w:val="24"/>
                <w:highlight w:val="none"/>
                <w:lang w:val="pt-BR" w:eastAsia="zh-CN" w:bidi="ar-SA"/>
              </w:rPr>
              <w:t xml:space="preserve">根据</w:t>
            </w:r>
            <w:r>
              <w:rPr>
                <w:rFonts w:hint="eastAsia" w:ascii="Times New Roman" w:hAnsi="Times New Roman" w:eastAsia="宋体" w:cs="Times New Roman"/>
                <w:color w:val="auto"/>
                <w:sz w:val="21"/>
                <w:szCs w:val="24"/>
                <w:highlight w:val="none"/>
                <w:lang w:val="en-US" w:eastAsia="zh-CN" w:bidi="ar-SA"/>
              </w:rPr>
              <w:t xml:space="preserve">供应商针</w:t>
            </w:r>
            <w:r>
              <w:rPr>
                <w:rFonts w:hint="eastAsia" w:cs="Times New Roman"/>
                <w:color w:val="auto"/>
                <w:sz w:val="21"/>
                <w:szCs w:val="24"/>
                <w:highlight w:val="none"/>
                <w:lang w:val="en-US" w:eastAsia="zh-CN" w:bidi="ar-SA"/>
              </w:rPr>
              <w:t xml:space="preserve">对本项目</w:t>
            </w:r>
            <w:r>
              <w:rPr>
                <w:rFonts w:hint="eastAsia" w:ascii="宋体" w:hAnsi="宋体" w:cs="宋体"/>
                <w:b w:val="0"/>
                <w:bCs w:val="0"/>
                <w:color w:val="auto"/>
                <w:szCs w:val="21"/>
                <w:highlight w:val="none"/>
                <w:lang w:val="en-US" w:eastAsia="zh-CN"/>
              </w:rPr>
              <w:t xml:space="preserve">提供的</w:t>
            </w:r>
            <w:r>
              <w:rPr>
                <w:rFonts w:hint="eastAsia" w:ascii="宋体" w:hAnsi="宋体" w:cs="宋体"/>
                <w:color w:val="auto"/>
                <w:szCs w:val="21"/>
                <w:highlight w:val="none"/>
                <w:lang w:val="en-US" w:eastAsia="zh-CN"/>
              </w:rPr>
              <w:t xml:space="preserve">保密管理方案（包括但不限于</w:t>
            </w:r>
            <w:r>
              <w:rPr>
                <w:rFonts w:hint="eastAsia" w:ascii="宋体" w:hAnsi="宋体" w:cs="宋体"/>
                <w:color w:val="auto"/>
                <w:sz w:val="21"/>
                <w:szCs w:val="21"/>
                <w:highlight w:val="none"/>
              </w:rPr>
              <w:t xml:space="preserve">在提供维保服务时</w:t>
            </w:r>
            <w:r>
              <w:rPr>
                <w:rFonts w:hint="eastAsia" w:ascii="宋体" w:hAnsi="宋体" w:eastAsia="宋体" w:cs="宋体"/>
                <w:color w:val="auto"/>
                <w:szCs w:val="21"/>
                <w:highlight w:val="none"/>
                <w:lang w:val="en-US" w:eastAsia="zh-CN"/>
              </w:rPr>
              <w:t xml:space="preserve">保密措施、数据保密管理、涉密人员管理等内容</w:t>
            </w:r>
            <w:r>
              <w:rPr>
                <w:rFonts w:hint="eastAsia" w:ascii="宋体" w:hAnsi="宋体" w:cs="宋体"/>
                <w:color w:val="auto"/>
                <w:szCs w:val="21"/>
                <w:highlight w:val="none"/>
                <w:lang w:val="en-US" w:eastAsia="zh-CN"/>
              </w:rPr>
              <w:t xml:space="preserve">）</w:t>
            </w:r>
            <w:r>
              <w:rPr>
                <w:rFonts w:hint="eastAsia" w:ascii="宋体" w:hAnsi="宋体" w:cs="宋体"/>
                <w:b w:val="0"/>
                <w:bCs w:val="0"/>
                <w:color w:val="auto"/>
                <w:szCs w:val="21"/>
                <w:highlight w:val="none"/>
                <w:lang w:val="en-US" w:eastAsia="zh-CN"/>
              </w:rPr>
              <w:t xml:space="preserve">进行评分</w:t>
            </w:r>
            <w:r>
              <w:rPr>
                <w:rFonts w:hint="eastAsia" w:ascii="宋体" w:hAnsi="宋体" w:eastAsia="宋体" w:cs="宋体"/>
                <w:color w:val="auto"/>
                <w:szCs w:val="21"/>
                <w:highlight w:val="none"/>
                <w:lang w:val="en-US" w:eastAsia="zh-CN"/>
              </w:rPr>
              <w:t xml:space="preserve">。</w:t>
            </w:r>
            <w:r>
              <w:rPr>
                <w:rFonts w:hint="eastAsia" w:ascii="宋体" w:hAnsi="宋体" w:cs="宋体"/>
                <w:color w:val="auto"/>
                <w:sz w:val="21"/>
                <w:szCs w:val="21"/>
                <w:highlight w:val="none"/>
              </w:rPr>
              <w:t xml:space="preserve"> </w:t>
            </w:r>
            <w:r/>
          </w:p>
          <w:p>
            <w:pPr>
              <w:spacing w:line="400" w:lineRule="atLeast"/>
              <w:rPr>
                <w:rFonts w:hint="eastAsia"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1"/>
                <w:szCs w:val="24"/>
                <w:highlight w:val="none"/>
                <w:lang w:val="en-US" w:eastAsia="zh-CN" w:bidi="ar-SA"/>
              </w:rPr>
              <w:t xml:space="preserve">1.方案内容齐全无缺漏项、内容与要点相符、每个要点均有展开详细的阐述且能够适用于本项目、有添加除以上要点外的其他内容且能够适用于本项目的，得5分；</w:t>
            </w:r>
            <w:r/>
          </w:p>
          <w:p>
            <w:pPr>
              <w:spacing w:line="400" w:lineRule="atLeast"/>
              <w:rPr>
                <w:rFonts w:hint="eastAsia"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1"/>
                <w:szCs w:val="24"/>
                <w:highlight w:val="none"/>
                <w:lang w:val="en-US" w:eastAsia="zh-CN" w:bidi="ar-SA"/>
              </w:rPr>
              <w:t xml:space="preserve">2.方案所包含的要点齐全无缺漏项、内容与要点相符、每个要点均有展开阐述(没有特别具体)但能够适用于本项目的，得3分；</w:t>
            </w:r>
            <w:r/>
          </w:p>
          <w:p>
            <w:pPr>
              <w:spacing w:line="400" w:lineRule="atLeast"/>
              <w:rPr>
                <w:rFonts w:hint="eastAsia" w:ascii="Times New Roman" w:hAnsi="Times New Roman"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1"/>
                <w:szCs w:val="24"/>
                <w:highlight w:val="none"/>
                <w:lang w:val="en-US" w:eastAsia="zh-CN" w:bidi="ar-SA"/>
              </w:rPr>
              <w:t xml:space="preserve">3.方案所包含的要点有缺漏项、内容与要点相符合但仅有纲要、内容简略，未展开详细阐述但能够适用于本项目的，得1分；</w:t>
            </w:r>
            <w:r/>
          </w:p>
          <w:p>
            <w:pP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1"/>
                <w:szCs w:val="24"/>
                <w:highlight w:val="none"/>
                <w:lang w:val="en-US" w:eastAsia="zh-CN" w:bidi="ar-SA"/>
              </w:rPr>
              <w:t xml:space="preserve">4.方案未提供或内容存在明显错误、内容明显不适用于本项目需求的均不得分</w:t>
            </w:r>
            <w:r>
              <w:rPr>
                <w:rFonts w:hint="eastAsia" w:cs="Times New Roman"/>
                <w:color w:val="auto"/>
                <w:sz w:val="21"/>
                <w:szCs w:val="24"/>
                <w:highlight w:val="none"/>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5分</w:t>
            </w:r>
            <w:r/>
          </w:p>
        </w:tc>
      </w:tr>
    </w:tbl>
    <w:p>
      <w:pPr>
        <w:spacing w:line="560" w:lineRule="exact"/>
        <w:rPr>
          <w:rFonts w:hint="eastAsia" w:ascii="宋体" w:hAnsi="宋体"/>
          <w:bCs/>
          <w:color w:val="auto"/>
          <w:sz w:val="24"/>
          <w:highlight w:val="none"/>
        </w:rPr>
      </w:pPr>
      <w:r>
        <w:rPr>
          <w:rFonts w:hint="eastAsia" w:ascii="宋体" w:hAnsi="宋体" w:cs="宋体"/>
          <w:color w:val="auto"/>
          <w:sz w:val="24"/>
          <w:highlight w:val="none"/>
        </w:rPr>
        <w:t xml:space="preserve">说明</w:t>
      </w:r>
      <w:r>
        <w:rPr>
          <w:rFonts w:hint="eastAsia" w:ascii="宋体" w:hAnsi="宋体"/>
          <w:bCs/>
          <w:color w:val="auto"/>
          <w:sz w:val="24"/>
          <w:highlight w:val="none"/>
        </w:rPr>
        <w:t xml:space="preserve">：</w:t>
      </w:r>
      <w:r/>
    </w:p>
    <w:p>
      <w:pPr>
        <w:spacing w:line="560" w:lineRule="exact"/>
        <w:rPr>
          <w:rFonts w:ascii="宋体" w:hAnsi="宋体" w:cs="宋体"/>
          <w:color w:val="auto"/>
          <w:sz w:val="24"/>
          <w:highlight w:val="none"/>
        </w:rPr>
      </w:pPr>
      <w:r>
        <w:rPr>
          <w:rFonts w:hint="eastAsia" w:ascii="宋体" w:hAnsi="宋体" w:cs="宋体"/>
          <w:color w:val="auto"/>
          <w:sz w:val="24"/>
          <w:highlight w:val="none"/>
        </w:rPr>
        <w:t xml:space="preserve">上述评分标准中须提供相关的各种资格、资质、证书、证明材料等提供扫描件并加盖公章，供应商必须保证所提供资料的真实性和完整性，如发现存在骗取成交等虚假行为，将依据法律规定取消其中标资格。</w:t>
      </w:r>
      <w:r/>
    </w:p>
    <w:p>
      <w:pPr>
        <w:spacing w:line="600" w:lineRule="exact"/>
        <w:rPr>
          <w:rFonts w:ascii="宋体" w:hAnsi="宋体" w:cs="宋体"/>
          <w:b/>
          <w:bCs/>
          <w:color w:val="auto"/>
          <w:sz w:val="24"/>
          <w:highlight w:val="none"/>
        </w:rPr>
      </w:pPr>
      <w:r>
        <w:rPr>
          <w:rFonts w:hint="eastAsia" w:ascii="宋体" w:hAnsi="宋体" w:cs="宋体"/>
          <w:b/>
          <w:bCs/>
          <w:color w:val="auto"/>
          <w:sz w:val="24"/>
          <w:highlight w:val="none"/>
        </w:rPr>
        <w:t xml:space="preserve">三、</w:t>
      </w:r>
      <w:r>
        <w:rPr>
          <w:rFonts w:ascii="宋体" w:hAnsi="宋体" w:cs="宋体"/>
          <w:b/>
          <w:bCs/>
          <w:color w:val="auto"/>
          <w:sz w:val="24"/>
          <w:highlight w:val="none"/>
        </w:rPr>
        <w:t xml:space="preserve">本办法未尽事宜，经</w:t>
      </w:r>
      <w:r>
        <w:rPr>
          <w:rFonts w:hint="eastAsia" w:ascii="宋体" w:hAnsi="宋体" w:cs="宋体"/>
          <w:b/>
          <w:bCs/>
          <w:color w:val="auto"/>
          <w:sz w:val="24"/>
          <w:highlight w:val="none"/>
        </w:rPr>
        <w:t xml:space="preserve">磋商小组</w:t>
      </w:r>
      <w:r>
        <w:rPr>
          <w:rFonts w:ascii="宋体" w:hAnsi="宋体" w:cs="宋体"/>
          <w:b/>
          <w:bCs/>
          <w:color w:val="auto"/>
          <w:sz w:val="24"/>
          <w:highlight w:val="none"/>
        </w:rPr>
        <w:t xml:space="preserve">集体通过后，形成书面材料，作为本</w:t>
      </w:r>
      <w:r>
        <w:rPr>
          <w:rFonts w:hint="eastAsia" w:ascii="宋体" w:hAnsi="宋体" w:cs="宋体"/>
          <w:b/>
          <w:bCs/>
          <w:color w:val="auto"/>
          <w:sz w:val="24"/>
          <w:highlight w:val="none"/>
        </w:rPr>
        <w:t xml:space="preserve">磋商</w:t>
      </w:r>
      <w:r>
        <w:rPr>
          <w:rFonts w:ascii="宋体" w:hAnsi="宋体" w:cs="宋体"/>
          <w:b/>
          <w:bCs/>
          <w:color w:val="auto"/>
          <w:sz w:val="24"/>
          <w:highlight w:val="none"/>
        </w:rPr>
        <w:t xml:space="preserve">办法的补充条款，并按</w:t>
      </w:r>
      <w:r>
        <w:rPr>
          <w:rFonts w:hint="eastAsia" w:ascii="宋体" w:hAnsi="宋体" w:cs="宋体"/>
          <w:b/>
          <w:bCs/>
          <w:color w:val="auto"/>
          <w:sz w:val="24"/>
          <w:highlight w:val="none"/>
        </w:rPr>
        <w:t xml:space="preserve">磋商</w:t>
      </w:r>
      <w:r>
        <w:rPr>
          <w:rFonts w:ascii="宋体" w:hAnsi="宋体" w:cs="宋体"/>
          <w:b/>
          <w:bCs/>
          <w:color w:val="auto"/>
          <w:sz w:val="24"/>
          <w:highlight w:val="none"/>
        </w:rPr>
        <w:t xml:space="preserve">办法及补充条款</w:t>
      </w:r>
      <w:r>
        <w:rPr>
          <w:rFonts w:hint="eastAsia" w:ascii="宋体" w:hAnsi="宋体" w:cs="宋体"/>
          <w:b/>
          <w:bCs/>
          <w:color w:val="auto"/>
          <w:sz w:val="24"/>
          <w:highlight w:val="none"/>
        </w:rPr>
        <w:t xml:space="preserve">进行磋商</w:t>
      </w:r>
      <w:r>
        <w:rPr>
          <w:rFonts w:ascii="宋体" w:hAnsi="宋体" w:cs="宋体"/>
          <w:b/>
          <w:bCs/>
          <w:color w:val="auto"/>
          <w:sz w:val="24"/>
          <w:highlight w:val="none"/>
        </w:rPr>
        <w:t xml:space="preserve">。</w:t>
      </w:r>
      <w:r/>
    </w:p>
    <w:p>
      <w:pPr>
        <w:rPr>
          <w:color w:val="auto"/>
          <w:sz w:val="32"/>
          <w:szCs w:val="32"/>
          <w:highlight w:val="none"/>
        </w:rPr>
      </w:pPr>
      <w:r>
        <w:rPr>
          <w:color w:val="auto"/>
          <w:sz w:val="32"/>
          <w:szCs w:val="32"/>
          <w:highlight w:val="none"/>
        </w:rPr>
        <w:br w:type="page" w:clear="all"/>
      </w:r>
      <w:r/>
    </w:p>
    <w:p>
      <w:pPr>
        <w:rPr>
          <w:color w:val="auto"/>
          <w:highlight w:val="none"/>
        </w:rPr>
      </w:pPr>
      <w:r>
        <w:rPr>
          <w:color w:val="auto"/>
          <w:highlight w:val="none"/>
        </w:rPr>
      </w:r>
      <w:r/>
    </w:p>
    <w:p>
      <w:pPr>
        <w:pStyle w:val="1147"/>
        <w:numPr>
          <w:ilvl w:val="0"/>
          <w:numId w:val="0"/>
        </w:numPr>
        <w:jc w:val="center"/>
        <w:rPr>
          <w:color w:val="auto"/>
          <w:sz w:val="32"/>
          <w:szCs w:val="32"/>
          <w:highlight w:val="none"/>
        </w:rPr>
      </w:pPr>
      <w:r>
        <w:rPr>
          <w:color w:val="auto"/>
          <w:sz w:val="32"/>
          <w:szCs w:val="32"/>
          <w:highlight w:val="none"/>
        </w:rPr>
        <w:t xml:space="preserve">第六章  响应文件的组成和格式</w:t>
      </w:r>
      <w:bookmarkEnd w:id="164"/>
      <w:r/>
      <w:r/>
    </w:p>
    <w:p>
      <w:pPr>
        <w:rPr>
          <w:color w:val="auto"/>
          <w:highlight w:val="none"/>
        </w:rPr>
      </w:pPr>
      <w:r>
        <w:rPr>
          <w:color w:val="auto"/>
          <w:highlight w:val="none"/>
        </w:rPr>
      </w:r>
      <w:r/>
    </w:p>
    <w:p>
      <w:pPr>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一、资格审查文件</w:t>
      </w:r>
      <w:r/>
    </w:p>
    <w:p>
      <w:pPr>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1.法定代表人资格证明书及法定代表人身份证原件扫描件；</w:t>
      </w:r>
      <w:r/>
    </w:p>
    <w:p>
      <w:pPr>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2.法定代表人授权委托书及授权委托人身份证原件扫描件（法定代表人亲自参加投标的除外）；</w:t>
      </w:r>
      <w:r/>
    </w:p>
    <w:p>
      <w:pPr>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3.投标供应商具有法人或者其他组织的营业执照原件扫描件；</w:t>
      </w:r>
      <w:r/>
    </w:p>
    <w:p>
      <w:pPr>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4.供应商近六个月中任意一个月（不含投标当月）的财务状况报告（资产负债表和利润表）或由会计师事务所出具的近两年中任意一个年度的审计报告和所附已</w:t>
      </w:r>
      <w:r>
        <w:rPr>
          <w:rFonts w:hint="eastAsia" w:asciiTheme="minorEastAsia" w:hAnsiTheme="minorEastAsia" w:eastAsiaTheme="minorEastAsia"/>
          <w:bCs/>
          <w:color w:val="auto"/>
          <w:sz w:val="24"/>
          <w:highlight w:val="none"/>
          <w:lang w:eastAsia="zh-CN"/>
        </w:rPr>
        <w:t xml:space="preserve">审</w:t>
      </w:r>
      <w:r>
        <w:rPr>
          <w:rFonts w:hint="eastAsia" w:asciiTheme="minorEastAsia" w:hAnsiTheme="minorEastAsia" w:eastAsiaTheme="minorEastAsia"/>
          <w:bCs/>
          <w:color w:val="auto"/>
          <w:sz w:val="24"/>
          <w:highlight w:val="none"/>
        </w:rPr>
        <w:t xml:space="preserve">财务报告扫描件； </w:t>
      </w:r>
      <w:r/>
    </w:p>
    <w:p>
      <w:pPr>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5.供应商近六个月中任意一个月（不含投标当月）的依法缴纳税收的相关材料（提供相关主管部门证明或银行代扣证明）或供应商依法享受缓缴、免缴税收的提供证明材料扫描件； </w:t>
      </w:r>
      <w:r/>
    </w:p>
    <w:p>
      <w:pPr>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6.供应商近六个月任意一个月（不含投标当月）的依法缴纳社会保障资金的相关材料（提供相关主管部门证明或银行代扣证明）或供应商依法享受缓缴、免缴社会保障资金的提供证明材料扫描件；</w:t>
      </w:r>
      <w:r/>
    </w:p>
    <w:p>
      <w:pPr>
        <w:jc w:val="left"/>
        <w:spacing w:line="360" w:lineRule="auto"/>
        <w:rPr>
          <w:rFonts w:cs="宋体" w:asciiTheme="minorEastAsia" w:hAnsiTheme="minorEastAsia" w:eastAsiaTheme="minorEastAsia"/>
          <w:color w:val="auto"/>
          <w:sz w:val="24"/>
          <w:highlight w:val="none"/>
        </w:rPr>
      </w:pPr>
      <w:r>
        <w:rPr>
          <w:rFonts w:hint="eastAsia" w:asciiTheme="minorEastAsia" w:hAnsiTheme="minorEastAsia" w:eastAsiaTheme="minorEastAsia"/>
          <w:bCs/>
          <w:color w:val="auto"/>
          <w:sz w:val="24"/>
          <w:highlight w:val="none"/>
        </w:rPr>
        <w:t xml:space="preserve">7.</w:t>
      </w:r>
      <w:r>
        <w:rPr>
          <w:rFonts w:hint="eastAsia" w:cs="宋体" w:asciiTheme="minorEastAsia" w:hAnsiTheme="minorEastAsia" w:eastAsiaTheme="minorEastAsia"/>
          <w:color w:val="auto"/>
          <w:sz w:val="24"/>
          <w:highlight w:val="none"/>
        </w:rPr>
        <w:t xml:space="preserve">参加政府采购活动前 3 年内在经营活动中没有重大违法记录的书面声明原件；</w:t>
      </w:r>
      <w:r/>
    </w:p>
    <w:p>
      <w:pPr>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8.供应商具备履行合同所必需的设备和专业技术能力的书面声明（格式自拟）；</w:t>
      </w:r>
      <w:r/>
    </w:p>
    <w:p>
      <w:pPr>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9.《中小企业声明函》或《残疾人福利性单位声明函》或监狱和戒毒企业证明材料。</w:t>
      </w:r>
      <w:r/>
    </w:p>
    <w:p>
      <w:pPr>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注：上述1—9中任何一条不符合要求，则资格性审查不通过，按无效响应文件处理。</w:t>
      </w:r>
      <w:r/>
    </w:p>
    <w:p>
      <w:pPr>
        <w:jc w:val="left"/>
        <w:spacing w:line="360" w:lineRule="auto"/>
        <w:rPr>
          <w:rFonts w:asciiTheme="minorEastAsia" w:hAnsiTheme="minorEastAsia" w:eastAsiaTheme="minorEastAsia"/>
          <w:bCs/>
          <w:color w:val="auto"/>
          <w:sz w:val="24"/>
          <w:highlight w:val="none"/>
          <w:lang w:val="zh-CN"/>
        </w:rPr>
      </w:pPr>
      <w:r>
        <w:rPr>
          <w:rFonts w:hint="eastAsia" w:asciiTheme="minorEastAsia" w:hAnsiTheme="minorEastAsia" w:eastAsiaTheme="minorEastAsia"/>
          <w:bCs/>
          <w:color w:val="auto"/>
          <w:sz w:val="24"/>
          <w:highlight w:val="none"/>
          <w:lang w:val="zh-CN"/>
        </w:rPr>
        <w:t xml:space="preserve">（</w:t>
      </w:r>
      <w:r>
        <w:rPr>
          <w:rFonts w:hint="eastAsia" w:asciiTheme="minorEastAsia" w:hAnsiTheme="minorEastAsia" w:eastAsiaTheme="minorEastAsia"/>
          <w:bCs/>
          <w:color w:val="auto"/>
          <w:sz w:val="24"/>
          <w:highlight w:val="none"/>
        </w:rPr>
        <w:t xml:space="preserve">磋商</w:t>
      </w:r>
      <w:r>
        <w:rPr>
          <w:rFonts w:hint="eastAsia" w:asciiTheme="minorEastAsia" w:hAnsiTheme="minorEastAsia" w:eastAsiaTheme="minorEastAsia"/>
          <w:bCs/>
          <w:color w:val="auto"/>
          <w:sz w:val="24"/>
          <w:highlight w:val="none"/>
          <w:lang w:val="zh-CN"/>
        </w:rPr>
        <w:t xml:space="preserve">文件要求提供的资格审查证明材料中如没有对应的接口上传资料的，可以在其他材料的接口中上传。）</w:t>
      </w:r>
      <w:r/>
    </w:p>
    <w:p>
      <w:pPr>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二、商务技术文件</w:t>
      </w:r>
      <w:r/>
    </w:p>
    <w:p>
      <w:pPr>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1.磋商响应函（格式参见第六章）；</w:t>
      </w:r>
      <w:r/>
    </w:p>
    <w:p>
      <w:pPr>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2.首次磋商报价表、</w:t>
      </w:r>
      <w:r>
        <w:rPr>
          <w:rFonts w:hint="eastAsia" w:asciiTheme="minorEastAsia" w:hAnsiTheme="minorEastAsia" w:eastAsiaTheme="minorEastAsia"/>
          <w:bCs/>
          <w:color w:val="auto"/>
          <w:sz w:val="24"/>
          <w:highlight w:val="none"/>
          <w:lang w:val="en-US" w:eastAsia="zh-CN"/>
        </w:rPr>
        <w:t xml:space="preserve">分项报价表</w:t>
      </w:r>
      <w:r>
        <w:rPr>
          <w:rFonts w:hint="eastAsia" w:asciiTheme="minorEastAsia" w:hAnsiTheme="minorEastAsia" w:eastAsiaTheme="minorEastAsia"/>
          <w:bCs/>
          <w:color w:val="auto"/>
          <w:sz w:val="24"/>
          <w:highlight w:val="none"/>
        </w:rPr>
        <w:t xml:space="preserve">（格式参见第六章）；</w:t>
      </w:r>
      <w:r/>
    </w:p>
    <w:p>
      <w:pPr>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3.采购需求响应及偏离表、商务条款响应及偏离表（格式参见第六章）；</w:t>
      </w:r>
      <w:r/>
    </w:p>
    <w:p>
      <w:pPr>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4.拟派本项目人员一览表；</w:t>
      </w:r>
      <w:r/>
    </w:p>
    <w:p>
      <w:pPr>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5.供应商近年类似业绩情况表及相关证明材料；</w:t>
      </w:r>
      <w:r/>
    </w:p>
    <w:p>
      <w:pPr>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6.承诺书；</w:t>
      </w:r>
      <w:r/>
    </w:p>
    <w:p>
      <w:pPr>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7.技术方案、服务承诺；</w:t>
      </w:r>
      <w:r/>
    </w:p>
    <w:p>
      <w:pPr>
        <w:spacing w:line="360" w:lineRule="auto"/>
        <w:tabs>
          <w:tab w:val="left" w:pos="90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8.</w:t>
      </w:r>
      <w:r>
        <w:rPr>
          <w:rFonts w:hint="eastAsia" w:asciiTheme="minorEastAsia" w:hAnsiTheme="minorEastAsia" w:eastAsiaTheme="minorEastAsia"/>
          <w:color w:val="auto"/>
          <w:sz w:val="24"/>
          <w:highlight w:val="none"/>
        </w:rPr>
        <w:t xml:space="preserve">根据项目需求和评审方法以及评审标准，供应商为使自身处于有利评审地位，应当提交的其他文件和证明资料；</w:t>
      </w:r>
      <w:r/>
    </w:p>
    <w:p>
      <w:pPr>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9.供应商认为需要提交的其他资料。</w:t>
      </w:r>
      <w:r/>
    </w:p>
    <w:p>
      <w:pPr>
        <w:jc w:val="left"/>
        <w:spacing w:line="360" w:lineRule="auto"/>
        <w:rPr>
          <w:bCs/>
          <w:color w:val="auto"/>
          <w:sz w:val="24"/>
          <w:highlight w:val="none"/>
        </w:rPr>
        <w:sectPr>
          <w:footerReference w:type="default" r:id="rId14"/>
          <w:footnotePr/>
          <w:endnotePr/>
          <w:type w:val="nextPage"/>
          <w:pgSz w:w="11907" w:h="16840" w:orient="portrait"/>
          <w:pgMar w:top="1134" w:right="1134" w:bottom="1134" w:left="1560" w:header="851" w:footer="851" w:gutter="0"/>
          <w:pgNumType w:start="1"/>
          <w:cols w:num="1" w:sep="0" w:space="720" w:equalWidth="1"/>
          <w:docGrid w:linePitch="360"/>
        </w:sectPr>
      </w:pPr>
      <w:r>
        <w:rPr>
          <w:bCs/>
          <w:color w:val="auto"/>
          <w:sz w:val="24"/>
          <w:highlight w:val="none"/>
        </w:rPr>
      </w:r>
      <w:r/>
    </w:p>
    <w:p>
      <w:pPr>
        <w:jc w:val="center"/>
        <w:spacing w:line="360" w:lineRule="auto"/>
        <w:rPr>
          <w:b/>
          <w:color w:val="auto"/>
          <w:sz w:val="44"/>
          <w:szCs w:val="44"/>
          <w:highlight w:val="none"/>
        </w:rPr>
        <w:outlineLvl w:val="0"/>
      </w:pPr>
      <w:r/>
      <w:bookmarkStart w:id="166" w:name="_Toc2523"/>
      <w:r/>
      <w:bookmarkStart w:id="167" w:name="_Toc31132"/>
      <w:r/>
      <w:r/>
    </w:p>
    <w:p>
      <w:pPr>
        <w:jc w:val="center"/>
        <w:spacing w:line="360" w:lineRule="auto"/>
        <w:rPr>
          <w:b/>
          <w:color w:val="auto"/>
          <w:sz w:val="44"/>
          <w:szCs w:val="44"/>
          <w:highlight w:val="none"/>
        </w:rPr>
        <w:outlineLvl w:val="0"/>
      </w:pPr>
      <w:r>
        <w:rPr>
          <w:b/>
          <w:color w:val="auto"/>
          <w:sz w:val="44"/>
          <w:szCs w:val="44"/>
          <w:highlight w:val="none"/>
        </w:rPr>
      </w:r>
      <w:r/>
    </w:p>
    <w:p>
      <w:pPr>
        <w:jc w:val="center"/>
        <w:spacing w:line="360" w:lineRule="auto"/>
        <w:rPr>
          <w:b/>
          <w:color w:val="auto"/>
          <w:sz w:val="44"/>
          <w:szCs w:val="44"/>
          <w:highlight w:val="none"/>
        </w:rPr>
        <w:outlineLvl w:val="0"/>
      </w:pPr>
      <w:r>
        <w:rPr>
          <w:b/>
          <w:color w:val="auto"/>
          <w:sz w:val="44"/>
          <w:szCs w:val="44"/>
          <w:highlight w:val="none"/>
        </w:rPr>
        <w:t xml:space="preserve">竞争性磋商响应文件</w:t>
      </w:r>
      <w:bookmarkEnd w:id="166"/>
      <w:r/>
      <w:bookmarkEnd w:id="167"/>
      <w:r/>
      <w:r/>
    </w:p>
    <w:p>
      <w:pPr>
        <w:pStyle w:val="1179"/>
        <w:ind w:firstLine="0"/>
        <w:jc w:val="center"/>
        <w:spacing w:before="0" w:after="0"/>
        <w:rPr>
          <w:rFonts w:ascii="Times New Roman" w:hAnsi="Times New Roman"/>
          <w:b/>
          <w:bCs/>
          <w:color w:val="auto"/>
          <w:sz w:val="21"/>
          <w:szCs w:val="21"/>
          <w:highlight w:val="none"/>
        </w:rPr>
      </w:pPr>
      <w:r>
        <w:rPr>
          <w:rFonts w:ascii="Times New Roman" w:hAnsi="Times New Roman"/>
          <w:b/>
          <w:bCs/>
          <w:color w:val="auto"/>
          <w:sz w:val="21"/>
          <w:szCs w:val="21"/>
          <w:highlight w:val="none"/>
        </w:rPr>
      </w:r>
      <w:r/>
    </w:p>
    <w:p>
      <w:pPr>
        <w:ind w:firstLine="632"/>
        <w:spacing w:line="360" w:lineRule="auto"/>
        <w:rPr>
          <w:b/>
          <w:color w:val="auto"/>
          <w:szCs w:val="21"/>
          <w:highlight w:val="none"/>
        </w:rPr>
      </w:pPr>
      <w:r>
        <w:rPr>
          <w:b/>
          <w:color w:val="auto"/>
          <w:szCs w:val="21"/>
          <w:highlight w:val="none"/>
        </w:rPr>
      </w:r>
      <w:r/>
    </w:p>
    <w:p>
      <w:pPr>
        <w:ind w:firstLine="632"/>
        <w:spacing w:line="360" w:lineRule="auto"/>
        <w:rPr>
          <w:b/>
          <w:color w:val="auto"/>
          <w:szCs w:val="21"/>
          <w:highlight w:val="none"/>
        </w:rPr>
      </w:pPr>
      <w:r>
        <w:rPr>
          <w:b/>
          <w:color w:val="auto"/>
          <w:szCs w:val="21"/>
          <w:highlight w:val="none"/>
        </w:rPr>
      </w:r>
      <w:r/>
    </w:p>
    <w:p>
      <w:pPr>
        <w:ind w:firstLine="632"/>
        <w:spacing w:line="360" w:lineRule="auto"/>
        <w:rPr>
          <w:b/>
          <w:color w:val="auto"/>
          <w:szCs w:val="21"/>
          <w:highlight w:val="none"/>
        </w:rPr>
      </w:pPr>
      <w:r>
        <w:rPr>
          <w:b/>
          <w:color w:val="auto"/>
          <w:szCs w:val="21"/>
          <w:highlight w:val="none"/>
        </w:rPr>
      </w:r>
      <w:r/>
    </w:p>
    <w:p>
      <w:pPr>
        <w:ind w:firstLine="632"/>
        <w:spacing w:line="360" w:lineRule="auto"/>
        <w:rPr>
          <w:b/>
          <w:color w:val="auto"/>
          <w:szCs w:val="21"/>
          <w:highlight w:val="none"/>
        </w:rPr>
      </w:pPr>
      <w:r>
        <w:rPr>
          <w:b/>
          <w:color w:val="auto"/>
          <w:szCs w:val="21"/>
          <w:highlight w:val="none"/>
        </w:rPr>
      </w:r>
      <w:r/>
    </w:p>
    <w:p>
      <w:pPr>
        <w:ind w:firstLine="632"/>
        <w:spacing w:line="360" w:lineRule="auto"/>
        <w:rPr>
          <w:b/>
          <w:color w:val="auto"/>
          <w:szCs w:val="21"/>
          <w:highlight w:val="none"/>
        </w:rPr>
      </w:pPr>
      <w:r>
        <w:rPr>
          <w:b/>
          <w:color w:val="auto"/>
          <w:szCs w:val="21"/>
          <w:highlight w:val="none"/>
        </w:rPr>
      </w:r>
      <w:r/>
    </w:p>
    <w:p>
      <w:pPr>
        <w:ind w:firstLine="632"/>
        <w:spacing w:line="360" w:lineRule="auto"/>
        <w:rPr>
          <w:b/>
          <w:color w:val="auto"/>
          <w:szCs w:val="21"/>
          <w:highlight w:val="none"/>
        </w:rPr>
      </w:pPr>
      <w:r>
        <w:rPr>
          <w:b/>
          <w:color w:val="auto"/>
          <w:szCs w:val="21"/>
          <w:highlight w:val="none"/>
        </w:rPr>
      </w:r>
      <w:r/>
    </w:p>
    <w:p>
      <w:pPr>
        <w:ind w:firstLine="632"/>
        <w:spacing w:line="360" w:lineRule="auto"/>
        <w:rPr>
          <w:b/>
          <w:color w:val="auto"/>
          <w:szCs w:val="21"/>
          <w:highlight w:val="none"/>
        </w:rPr>
      </w:pPr>
      <w:r>
        <w:rPr>
          <w:b/>
          <w:color w:val="auto"/>
          <w:szCs w:val="21"/>
          <w:highlight w:val="none"/>
        </w:rPr>
      </w:r>
      <w:r/>
    </w:p>
    <w:p>
      <w:pPr>
        <w:ind w:firstLine="632"/>
        <w:spacing w:line="360" w:lineRule="auto"/>
        <w:rPr>
          <w:b/>
          <w:color w:val="auto"/>
          <w:szCs w:val="21"/>
          <w:highlight w:val="none"/>
        </w:rPr>
      </w:pPr>
      <w:r>
        <w:rPr>
          <w:b/>
          <w:color w:val="auto"/>
          <w:szCs w:val="21"/>
          <w:highlight w:val="none"/>
        </w:rPr>
      </w:r>
      <w:r/>
    </w:p>
    <w:p>
      <w:pPr>
        <w:ind w:firstLine="843"/>
        <w:spacing w:line="360" w:lineRule="auto"/>
        <w:rPr>
          <w:b/>
          <w:color w:val="auto"/>
          <w:sz w:val="28"/>
          <w:szCs w:val="28"/>
          <w:highlight w:val="none"/>
        </w:rPr>
      </w:pPr>
      <w:r>
        <w:rPr>
          <w:b/>
          <w:color w:val="auto"/>
          <w:sz w:val="28"/>
          <w:szCs w:val="28"/>
          <w:highlight w:val="none"/>
        </w:rPr>
        <w:t xml:space="preserve">项 目 名 称：</w:t>
      </w:r>
      <w:r/>
    </w:p>
    <w:p>
      <w:pPr>
        <w:ind w:firstLine="843"/>
        <w:spacing w:line="360" w:lineRule="auto"/>
        <w:rPr>
          <w:b/>
          <w:color w:val="auto"/>
          <w:sz w:val="28"/>
          <w:szCs w:val="28"/>
          <w:highlight w:val="none"/>
          <w:u w:val="single"/>
        </w:rPr>
      </w:pPr>
      <w:r>
        <w:rPr>
          <w:b/>
          <w:color w:val="auto"/>
          <w:sz w:val="28"/>
          <w:szCs w:val="28"/>
          <w:highlight w:val="none"/>
        </w:rPr>
        <w:t xml:space="preserve">项 目 编 号：</w:t>
      </w:r>
      <w:r/>
    </w:p>
    <w:p>
      <w:pPr>
        <w:ind w:firstLine="843"/>
        <w:spacing w:line="360" w:lineRule="auto"/>
        <w:rPr>
          <w:b/>
          <w:color w:val="auto"/>
          <w:sz w:val="28"/>
          <w:szCs w:val="28"/>
          <w:highlight w:val="none"/>
        </w:rPr>
      </w:pPr>
      <w:r>
        <w:rPr>
          <w:b/>
          <w:color w:val="auto"/>
          <w:sz w:val="28"/>
          <w:szCs w:val="28"/>
          <w:highlight w:val="none"/>
        </w:rPr>
        <w:t xml:space="preserve">磋商供应商名称： （加盖CA电子公章）              </w:t>
      </w:r>
      <w:r/>
    </w:p>
    <w:p>
      <w:pPr>
        <w:spacing w:line="360" w:lineRule="auto"/>
        <w:rPr>
          <w:b/>
          <w:color w:val="auto"/>
          <w:sz w:val="28"/>
          <w:szCs w:val="28"/>
          <w:highlight w:val="none"/>
        </w:rPr>
      </w:pPr>
      <w:r>
        <w:rPr>
          <w:b/>
          <w:color w:val="auto"/>
          <w:sz w:val="28"/>
          <w:szCs w:val="28"/>
          <w:highlight w:val="none"/>
        </w:rPr>
        <w:t xml:space="preserve">      日       期：</w:t>
      </w:r>
      <w:bookmarkEnd w:id="110"/>
      <w:r/>
      <w:bookmarkEnd w:id="111"/>
      <w:r/>
      <w:bookmarkEnd w:id="112"/>
      <w:r/>
      <w:r/>
    </w:p>
    <w:p>
      <w:pPr>
        <w:pStyle w:val="1159"/>
        <w:ind w:firstLine="0"/>
        <w:spacing w:line="360" w:lineRule="auto"/>
        <w:rPr>
          <w:b/>
          <w:color w:val="auto"/>
          <w:szCs w:val="21"/>
          <w:highlight w:val="none"/>
        </w:rPr>
      </w:pPr>
      <w:r/>
      <w:bookmarkStart w:id="168" w:name="_Toc456102676"/>
      <w:r/>
      <w:bookmarkStart w:id="169" w:name="_Toc456102122"/>
      <w:r/>
      <w:bookmarkStart w:id="170" w:name="_Toc337816640"/>
      <w:r/>
      <w:bookmarkStart w:id="171" w:name="_Toc456102499"/>
      <w:r/>
      <w:r/>
    </w:p>
    <w:p>
      <w:pPr>
        <w:pStyle w:val="1159"/>
        <w:ind w:firstLine="0"/>
        <w:spacing w:line="360" w:lineRule="auto"/>
        <w:rPr>
          <w:b/>
          <w:color w:val="auto"/>
          <w:szCs w:val="21"/>
          <w:highlight w:val="none"/>
        </w:rPr>
      </w:pPr>
      <w:r>
        <w:rPr>
          <w:b/>
          <w:color w:val="auto"/>
          <w:szCs w:val="21"/>
          <w:highlight w:val="none"/>
        </w:rPr>
      </w:r>
      <w:r/>
    </w:p>
    <w:p>
      <w:pPr>
        <w:pStyle w:val="1159"/>
        <w:ind w:firstLine="0"/>
        <w:spacing w:line="360" w:lineRule="auto"/>
        <w:rPr>
          <w:b/>
          <w:color w:val="auto"/>
          <w:szCs w:val="21"/>
          <w:highlight w:val="none"/>
        </w:rPr>
      </w:pPr>
      <w:r>
        <w:rPr>
          <w:b/>
          <w:color w:val="auto"/>
          <w:szCs w:val="21"/>
          <w:highlight w:val="none"/>
        </w:rPr>
      </w:r>
      <w:r/>
    </w:p>
    <w:p>
      <w:pPr>
        <w:pStyle w:val="1159"/>
        <w:ind w:firstLine="0"/>
        <w:spacing w:line="360" w:lineRule="auto"/>
        <w:rPr>
          <w:b/>
          <w:color w:val="auto"/>
          <w:szCs w:val="21"/>
          <w:highlight w:val="none"/>
        </w:rPr>
      </w:pPr>
      <w:r>
        <w:rPr>
          <w:b/>
          <w:color w:val="auto"/>
          <w:szCs w:val="21"/>
          <w:highlight w:val="none"/>
        </w:rPr>
      </w:r>
      <w:r/>
    </w:p>
    <w:p>
      <w:pPr>
        <w:pStyle w:val="1159"/>
        <w:ind w:firstLine="0"/>
        <w:spacing w:line="360" w:lineRule="auto"/>
        <w:rPr>
          <w:b/>
          <w:color w:val="auto"/>
          <w:szCs w:val="21"/>
          <w:highlight w:val="none"/>
        </w:rPr>
      </w:pPr>
      <w:r>
        <w:rPr>
          <w:b/>
          <w:color w:val="auto"/>
          <w:szCs w:val="21"/>
          <w:highlight w:val="none"/>
        </w:rPr>
      </w:r>
      <w:r/>
    </w:p>
    <w:p>
      <w:pPr>
        <w:pStyle w:val="1159"/>
        <w:ind w:firstLine="0"/>
        <w:spacing w:line="360" w:lineRule="auto"/>
        <w:rPr>
          <w:b/>
          <w:color w:val="auto"/>
          <w:szCs w:val="21"/>
          <w:highlight w:val="none"/>
        </w:rPr>
      </w:pPr>
      <w:r>
        <w:rPr>
          <w:b/>
          <w:color w:val="auto"/>
          <w:szCs w:val="21"/>
          <w:highlight w:val="none"/>
        </w:rPr>
      </w:r>
      <w:r/>
    </w:p>
    <w:p>
      <w:pPr>
        <w:pStyle w:val="1159"/>
        <w:ind w:firstLine="0"/>
        <w:spacing w:line="360" w:lineRule="auto"/>
        <w:rPr>
          <w:b/>
          <w:color w:val="auto"/>
          <w:szCs w:val="21"/>
          <w:highlight w:val="none"/>
        </w:rPr>
      </w:pPr>
      <w:r>
        <w:rPr>
          <w:b/>
          <w:color w:val="auto"/>
          <w:szCs w:val="21"/>
          <w:highlight w:val="none"/>
        </w:rPr>
      </w:r>
      <w:r/>
    </w:p>
    <w:p>
      <w:pPr>
        <w:pStyle w:val="1159"/>
        <w:ind w:firstLine="0"/>
        <w:spacing w:line="360" w:lineRule="auto"/>
        <w:rPr>
          <w:b/>
          <w:color w:val="auto"/>
          <w:szCs w:val="21"/>
          <w:highlight w:val="none"/>
        </w:rPr>
      </w:pPr>
      <w:r>
        <w:rPr>
          <w:b/>
          <w:color w:val="auto"/>
          <w:szCs w:val="21"/>
          <w:highlight w:val="none"/>
        </w:rPr>
      </w:r>
      <w:r/>
    </w:p>
    <w:p>
      <w:pPr>
        <w:pStyle w:val="1159"/>
        <w:ind w:firstLine="0"/>
        <w:spacing w:line="360" w:lineRule="auto"/>
        <w:rPr>
          <w:b/>
          <w:color w:val="auto"/>
          <w:szCs w:val="21"/>
          <w:highlight w:val="none"/>
        </w:rPr>
      </w:pPr>
      <w:r>
        <w:rPr>
          <w:b/>
          <w:color w:val="auto"/>
          <w:szCs w:val="21"/>
          <w:highlight w:val="none"/>
        </w:rPr>
      </w:r>
      <w:r/>
    </w:p>
    <w:p>
      <w:pPr>
        <w:pStyle w:val="1159"/>
        <w:ind w:firstLine="0"/>
        <w:spacing w:line="360" w:lineRule="auto"/>
        <w:rPr>
          <w:b/>
          <w:color w:val="auto"/>
          <w:szCs w:val="21"/>
          <w:highlight w:val="none"/>
        </w:rPr>
      </w:pPr>
      <w:r>
        <w:rPr>
          <w:b/>
          <w:color w:val="auto"/>
          <w:szCs w:val="21"/>
          <w:highlight w:val="none"/>
        </w:rPr>
      </w:r>
      <w:r/>
    </w:p>
    <w:p>
      <w:pPr>
        <w:pStyle w:val="1159"/>
        <w:ind w:firstLine="0"/>
        <w:spacing w:line="360" w:lineRule="auto"/>
        <w:rPr>
          <w:b/>
          <w:color w:val="auto"/>
          <w:szCs w:val="21"/>
          <w:highlight w:val="none"/>
        </w:rPr>
      </w:pPr>
      <w:r>
        <w:rPr>
          <w:b/>
          <w:color w:val="auto"/>
          <w:szCs w:val="21"/>
          <w:highlight w:val="none"/>
        </w:rPr>
      </w:r>
      <w:r/>
    </w:p>
    <w:p>
      <w:pPr>
        <w:pStyle w:val="1159"/>
        <w:ind w:firstLine="0"/>
        <w:spacing w:line="360" w:lineRule="auto"/>
        <w:rPr>
          <w:b/>
          <w:color w:val="auto"/>
          <w:szCs w:val="21"/>
          <w:highlight w:val="none"/>
        </w:rPr>
      </w:pPr>
      <w:r>
        <w:rPr>
          <w:b/>
          <w:color w:val="auto"/>
          <w:szCs w:val="21"/>
          <w:highlight w:val="none"/>
        </w:rPr>
      </w:r>
      <w:r/>
    </w:p>
    <w:p>
      <w:pPr>
        <w:pStyle w:val="1159"/>
        <w:ind w:firstLine="0"/>
        <w:spacing w:line="360" w:lineRule="auto"/>
        <w:rPr>
          <w:b/>
          <w:color w:val="auto"/>
          <w:szCs w:val="21"/>
          <w:highlight w:val="none"/>
        </w:rPr>
      </w:pPr>
      <w:r>
        <w:rPr>
          <w:b/>
          <w:color w:val="auto"/>
          <w:szCs w:val="21"/>
          <w:highlight w:val="none"/>
        </w:rPr>
      </w:r>
      <w:r/>
    </w:p>
    <w:p>
      <w:pPr>
        <w:pStyle w:val="1159"/>
        <w:ind w:firstLine="0"/>
        <w:spacing w:line="360" w:lineRule="auto"/>
        <w:rPr>
          <w:b/>
          <w:color w:val="auto"/>
          <w:szCs w:val="21"/>
          <w:highlight w:val="none"/>
        </w:rPr>
      </w:pPr>
      <w:r>
        <w:rPr>
          <w:b/>
          <w:color w:val="auto"/>
          <w:szCs w:val="21"/>
          <w:highlight w:val="none"/>
        </w:rPr>
      </w:r>
      <w:r/>
    </w:p>
    <w:p>
      <w:pPr>
        <w:pStyle w:val="1159"/>
        <w:ind w:firstLine="0"/>
        <w:spacing w:line="360" w:lineRule="auto"/>
        <w:rPr>
          <w:b/>
          <w:color w:val="auto"/>
          <w:szCs w:val="21"/>
          <w:highlight w:val="none"/>
        </w:rPr>
      </w:pPr>
      <w:r>
        <w:rPr>
          <w:b/>
          <w:color w:val="auto"/>
          <w:szCs w:val="21"/>
          <w:highlight w:val="none"/>
        </w:rPr>
      </w:r>
      <w:r/>
    </w:p>
    <w:p>
      <w:pPr>
        <w:pStyle w:val="1159"/>
        <w:ind w:firstLine="0"/>
        <w:spacing w:line="360" w:lineRule="auto"/>
        <w:rPr>
          <w:b/>
          <w:color w:val="auto"/>
          <w:szCs w:val="21"/>
          <w:highlight w:val="none"/>
        </w:rPr>
      </w:pPr>
      <w:r>
        <w:rPr>
          <w:b/>
          <w:color w:val="auto"/>
          <w:szCs w:val="21"/>
          <w:highlight w:val="none"/>
        </w:rPr>
      </w:r>
      <w:bookmarkEnd w:id="168"/>
      <w:r/>
      <w:bookmarkEnd w:id="169"/>
      <w:r/>
      <w:bookmarkEnd w:id="170"/>
      <w:r/>
      <w:bookmarkEnd w:id="171"/>
      <w:r/>
      <w:r/>
    </w:p>
    <w:p>
      <w:pPr>
        <w:keepNext/>
        <w:spacing w:before="240" w:after="60" w:line="360" w:lineRule="auto"/>
        <w:rPr>
          <w:rFonts w:ascii="宋体" w:hAnsi="宋体"/>
          <w:color w:val="auto"/>
          <w:sz w:val="44"/>
          <w:szCs w:val="44"/>
          <w:highlight w:val="none"/>
        </w:rPr>
        <w:outlineLvl w:val="1"/>
      </w:pPr>
      <w:r>
        <w:rPr>
          <w:rFonts w:hint="eastAsia" w:ascii="宋体" w:hAnsi="宋体"/>
          <w:b/>
          <w:bCs/>
          <w:color w:val="auto"/>
          <w:szCs w:val="21"/>
          <w:highlight w:val="none"/>
        </w:rPr>
        <w:t xml:space="preserve">附件1 ：                             </w:t>
      </w:r>
      <w:r>
        <w:rPr>
          <w:rFonts w:hint="eastAsia" w:ascii="宋体" w:hAnsi="宋体"/>
          <w:b/>
          <w:bCs/>
          <w:color w:val="auto"/>
          <w:sz w:val="28"/>
          <w:szCs w:val="28"/>
          <w:highlight w:val="none"/>
        </w:rPr>
        <w:t xml:space="preserve">磋商响应函（格式）</w:t>
      </w:r>
      <w:r>
        <w:rPr>
          <w:rFonts w:hint="eastAsia" w:ascii="宋体" w:hAnsi="宋体"/>
          <w:color w:val="auto"/>
          <w:sz w:val="28"/>
          <w:szCs w:val="28"/>
          <w:highlight w:val="none"/>
        </w:rPr>
        <w:t xml:space="preserve"> </w:t>
      </w:r>
      <w:r/>
    </w:p>
    <w:p>
      <w:pPr>
        <w:keepNext/>
        <w:spacing w:before="240" w:after="60" w:line="360" w:lineRule="auto"/>
        <w:rPr>
          <w:rFonts w:ascii="宋体" w:hAnsi="宋体" w:cs="宋体"/>
          <w:color w:val="auto"/>
          <w:szCs w:val="21"/>
          <w:highlight w:val="none"/>
        </w:rPr>
        <w:outlineLvl w:val="1"/>
      </w:pPr>
      <w:r>
        <w:rPr>
          <w:rFonts w:hint="eastAsia" w:ascii="宋体" w:hAnsi="宋体" w:cs="宋体"/>
          <w:b/>
          <w:bCs/>
          <w:color w:val="auto"/>
          <w:szCs w:val="21"/>
          <w:highlight w:val="none"/>
        </w:rPr>
        <w:t xml:space="preserve">致：</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u w:val="single"/>
        </w:rPr>
        <w:t xml:space="preserve">   </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根据贵方为 </w:t>
      </w:r>
      <w:r>
        <w:rPr>
          <w:rFonts w:hint="eastAsia" w:ascii="宋体" w:hAnsi="宋体" w:cs="宋体"/>
          <w:color w:val="auto"/>
          <w:szCs w:val="21"/>
          <w:highlight w:val="none"/>
          <w:u w:val="single"/>
        </w:rPr>
        <w:t xml:space="preserve">  （项 目 名 称） </w:t>
      </w:r>
      <w:r>
        <w:rPr>
          <w:rFonts w:hint="eastAsia" w:ascii="宋体" w:hAnsi="宋体" w:cs="宋体"/>
          <w:color w:val="auto"/>
          <w:szCs w:val="21"/>
          <w:highlight w:val="none"/>
        </w:rPr>
        <w:t xml:space="preserve">  </w:t>
      </w:r>
      <w:r>
        <w:rPr>
          <w:rFonts w:hint="eastAsia" w:ascii="宋体" w:hAnsi="宋体" w:cs="宋体"/>
          <w:color w:val="auto"/>
          <w:szCs w:val="21"/>
          <w:highlight w:val="none"/>
        </w:rPr>
        <w:t xml:space="preserve">项目编号为：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号磋商文件，正式授权下述签字人__________（姓名和职务）代表我方___________（供应商的名称），全权处理本次项目磋商的有关事宜。</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据此函，签字代表宣布同意如下：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（1）按磋商文件规定的各项要求，向</w:t>
      </w:r>
      <w:r>
        <w:rPr>
          <w:rFonts w:hint="eastAsia" w:ascii="宋体" w:hAnsi="宋体" w:cs="宋体"/>
          <w:color w:val="auto"/>
          <w:szCs w:val="21"/>
          <w:highlight w:val="none"/>
          <w:u w:val="single"/>
        </w:rPr>
        <w:t xml:space="preserve">    采购单位名称     </w:t>
      </w:r>
      <w:r>
        <w:rPr>
          <w:rFonts w:hint="eastAsia" w:ascii="宋体" w:hAnsi="宋体" w:cs="宋体"/>
          <w:color w:val="auto"/>
          <w:szCs w:val="21"/>
          <w:highlight w:val="none"/>
        </w:rPr>
        <w:t xml:space="preserve">提供所需相关服务，总报价为（大写）__________________人民币。</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（2）我们完全理解贵方不一定将合同授予最低报价的供应商。</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（3）我们已详细审核全部磋商文件及其有效补充文件，我们知道必须放弃提出含糊不清或误解问题的权利。</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（4）我们同意从规定的响应文件开启之日起遵循本响应文件，并在规定的有效期期满之前均具有约束力。</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（5）如果在响应文件开启后规定的有效期内撤回响应文件或中标后拒绝签订合同，由此给采购人造成损失的，我方将承担赔偿责任。</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（6）同意向贵方提供贵方可能另外要求的与磋商有关的任何证据或资料，并保证我方已提供和将要提供的文件是真实的、准确的。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（7）一旦我方中标，我方将根据磋商文件的规定，严格履行合同的责任和义务，并保证于规定的时</w:t>
      </w:r>
      <w:r>
        <w:rPr>
          <w:rFonts w:hint="eastAsia" w:ascii="宋体" w:hAnsi="宋体" w:cs="宋体"/>
          <w:color w:val="auto"/>
          <w:szCs w:val="21"/>
          <w:highlight w:val="none"/>
          <w:lang w:eastAsia="zh-CN"/>
        </w:rPr>
        <w:t xml:space="preserve">间内</w:t>
      </w:r>
      <w:r>
        <w:rPr>
          <w:rFonts w:hint="eastAsia" w:ascii="宋体" w:hAnsi="宋体" w:cs="宋体"/>
          <w:color w:val="auto"/>
          <w:szCs w:val="21"/>
          <w:highlight w:val="none"/>
        </w:rPr>
        <w:t xml:space="preserve">完成</w:t>
      </w:r>
      <w:r>
        <w:rPr>
          <w:rFonts w:hint="eastAsia" w:ascii="宋体" w:hAnsi="宋体" w:cs="宋体"/>
          <w:color w:val="auto"/>
          <w:szCs w:val="21"/>
          <w:highlight w:val="none"/>
        </w:rPr>
        <w:t xml:space="preserve">本</w:t>
      </w:r>
      <w:r>
        <w:rPr>
          <w:rFonts w:hint="eastAsia" w:ascii="宋体" w:hAnsi="宋体" w:cs="宋体"/>
          <w:color w:val="auto"/>
          <w:szCs w:val="21"/>
          <w:highlight w:val="none"/>
        </w:rPr>
        <w:t xml:space="preserve">项目，交付买方验收。保证不将项目全部或者部分转包给第三方。</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（8）我们郑重声明：本单位未为此次项目提供过整体设计、规范编制或者项目管理、监理、检测等服务。</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（9）遵守磋商文件中要求的收费项目和标准。</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（10）与本次磋商有关的正式通讯地址为：</w:t>
      </w:r>
      <w:r/>
    </w:p>
    <w:p>
      <w:pPr>
        <w:ind w:firstLine="515"/>
        <w:spacing w:line="440" w:lineRule="exact"/>
        <w:rPr>
          <w:rFonts w:ascii="宋体" w:hAnsi="宋体" w:cs="宋体"/>
          <w:color w:val="auto"/>
          <w:szCs w:val="21"/>
          <w:highlight w:val="none"/>
          <w:u w:val="single"/>
        </w:rPr>
      </w:pPr>
      <w:r>
        <w:rPr>
          <w:rFonts w:hint="eastAsia" w:ascii="宋体" w:hAnsi="宋体" w:cs="宋体"/>
          <w:color w:val="auto"/>
          <w:szCs w:val="21"/>
          <w:highlight w:val="none"/>
        </w:rPr>
        <w:t xml:space="preserve">供应商（加盖CA电子公章）：</w:t>
      </w:r>
      <w:r>
        <w:rPr>
          <w:rFonts w:hint="eastAsia" w:ascii="宋体" w:hAnsi="宋体" w:cs="宋体"/>
          <w:color w:val="auto"/>
          <w:szCs w:val="21"/>
          <w:highlight w:val="none"/>
          <w:u w:val="single"/>
        </w:rPr>
        <w:t xml:space="preserve">                       </w:t>
      </w:r>
      <w:r/>
    </w:p>
    <w:p>
      <w:pPr>
        <w:ind w:firstLine="515"/>
        <w:spacing w:line="440" w:lineRule="exact"/>
        <w:rPr>
          <w:rFonts w:ascii="宋体" w:hAnsi="宋体" w:cs="宋体"/>
          <w:color w:val="auto"/>
          <w:szCs w:val="21"/>
          <w:highlight w:val="none"/>
          <w:u w:val="single"/>
        </w:rPr>
      </w:pPr>
      <w:r>
        <w:rPr>
          <w:rFonts w:hint="eastAsia" w:ascii="宋体" w:hAnsi="宋体" w:cs="宋体"/>
          <w:color w:val="auto"/>
          <w:szCs w:val="21"/>
          <w:highlight w:val="none"/>
        </w:rPr>
        <w:t xml:space="preserve">法定代表人或授权代表（签字或盖章）：</w:t>
      </w:r>
      <w:r>
        <w:rPr>
          <w:rFonts w:hint="eastAsia" w:ascii="宋体" w:hAnsi="宋体" w:cs="宋体"/>
          <w:color w:val="auto"/>
          <w:szCs w:val="21"/>
          <w:highlight w:val="none"/>
          <w:u w:val="single"/>
        </w:rPr>
        <w:t xml:space="preserve">             </w:t>
      </w:r>
      <w:r/>
    </w:p>
    <w:p>
      <w:pPr>
        <w:ind w:firstLine="515"/>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日      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515"/>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单位地址：</w:t>
      </w:r>
      <w:r>
        <w:rPr>
          <w:rFonts w:hint="eastAsia" w:ascii="宋体" w:hAnsi="宋体" w:cs="宋体"/>
          <w:color w:val="auto"/>
          <w:szCs w:val="21"/>
          <w:highlight w:val="none"/>
          <w:u w:val="single"/>
        </w:rPr>
        <w:t xml:space="preserve">                          </w:t>
      </w:r>
      <w:r/>
    </w:p>
    <w:p>
      <w:pPr>
        <w:ind w:firstLine="515"/>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单位开户银行及账户：</w:t>
      </w:r>
      <w:r>
        <w:rPr>
          <w:rFonts w:hint="eastAsia" w:ascii="宋体" w:hAnsi="宋体" w:cs="宋体"/>
          <w:color w:val="auto"/>
          <w:szCs w:val="21"/>
          <w:highlight w:val="none"/>
          <w:u w:val="single"/>
        </w:rPr>
        <w:t xml:space="preserve">                </w:t>
      </w:r>
      <w:r/>
    </w:p>
    <w:p>
      <w:pPr>
        <w:ind w:firstLine="515"/>
        <w:spacing w:line="440" w:lineRule="exact"/>
        <w:rPr>
          <w:rFonts w:ascii="楷体_GB2312"/>
          <w:color w:val="auto"/>
          <w:sz w:val="32"/>
          <w:szCs w:val="32"/>
          <w:highlight w:val="none"/>
        </w:rPr>
      </w:pPr>
      <w:r>
        <w:rPr>
          <w:rFonts w:hint="eastAsia" w:ascii="宋体" w:hAnsi="宋体" w:cs="宋体"/>
          <w:color w:val="auto"/>
          <w:szCs w:val="21"/>
          <w:highlight w:val="none"/>
        </w:rPr>
        <w:t xml:space="preserve">传    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电    话：</w:t>
      </w:r>
      <w:r>
        <w:rPr>
          <w:rFonts w:hint="eastAsia" w:ascii="宋体" w:hAnsi="宋体" w:cs="宋体"/>
          <w:color w:val="auto"/>
          <w:szCs w:val="21"/>
          <w:highlight w:val="none"/>
          <w:u w:val="single"/>
        </w:rPr>
        <w:t xml:space="preserve">                </w:t>
      </w:r>
      <w:r/>
    </w:p>
    <w:p>
      <w:pPr>
        <w:keepNext/>
        <w:spacing w:before="240" w:after="60" w:line="360" w:lineRule="auto"/>
        <w:rPr>
          <w:rFonts w:ascii="宋体" w:hAnsi="宋体"/>
          <w:b/>
          <w:bCs/>
          <w:color w:val="auto"/>
          <w:szCs w:val="21"/>
          <w:highlight w:val="none"/>
        </w:rPr>
        <w:outlineLvl w:val="1"/>
      </w:pPr>
      <w:r/>
      <w:bookmarkStart w:id="172" w:name="_Toc32686"/>
      <w:r/>
      <w:bookmarkEnd w:id="172"/>
      <w:r/>
      <w:r/>
    </w:p>
    <w:p>
      <w:pPr>
        <w:pStyle w:val="1161"/>
        <w:rPr>
          <w:color w:val="auto"/>
          <w:highlight w:val="none"/>
        </w:rPr>
      </w:pPr>
      <w:r>
        <w:rPr>
          <w:color w:val="auto"/>
          <w:highlight w:val="none"/>
        </w:rPr>
      </w:r>
      <w:r/>
    </w:p>
    <w:p>
      <w:pPr>
        <w:pStyle w:val="1166"/>
        <w:rPr>
          <w:color w:val="auto"/>
          <w:highlight w:val="none"/>
        </w:rPr>
      </w:pPr>
      <w:r>
        <w:rPr>
          <w:color w:val="auto"/>
          <w:highlight w:val="none"/>
        </w:rPr>
      </w:r>
      <w:r/>
    </w:p>
    <w:p>
      <w:pPr>
        <w:pStyle w:val="1166"/>
        <w:rPr>
          <w:color w:val="auto"/>
          <w:highlight w:val="none"/>
        </w:rPr>
      </w:pPr>
      <w:r>
        <w:rPr>
          <w:color w:val="auto"/>
          <w:highlight w:val="none"/>
        </w:rPr>
      </w:r>
      <w:r/>
    </w:p>
    <w:p>
      <w:pPr>
        <w:keepNext/>
        <w:spacing w:before="240" w:after="60" w:line="360" w:lineRule="auto"/>
        <w:rPr>
          <w:rFonts w:ascii="宋体" w:hAnsi="宋体"/>
          <w:b/>
          <w:bCs/>
          <w:color w:val="auto"/>
          <w:szCs w:val="21"/>
          <w:highlight w:val="none"/>
        </w:rPr>
        <w:outlineLvl w:val="1"/>
      </w:pPr>
      <w:r>
        <w:rPr>
          <w:rFonts w:hint="eastAsia" w:ascii="宋体" w:hAnsi="宋体"/>
          <w:b/>
          <w:bCs/>
          <w:color w:val="auto"/>
          <w:szCs w:val="21"/>
          <w:highlight w:val="none"/>
        </w:rPr>
        <w:t xml:space="preserve">附件2：                              </w:t>
      </w:r>
      <w:r>
        <w:rPr>
          <w:rFonts w:hint="eastAsia" w:ascii="宋体" w:hAnsi="宋体"/>
          <w:b/>
          <w:bCs/>
          <w:color w:val="auto"/>
          <w:sz w:val="28"/>
          <w:szCs w:val="28"/>
          <w:highlight w:val="none"/>
        </w:rPr>
        <w:t xml:space="preserve">法定代表人资格证明书</w:t>
      </w:r>
      <w:r/>
    </w:p>
    <w:p>
      <w:pPr>
        <w:ind w:firstLine="315"/>
        <w:jc w:val="left"/>
        <w:spacing w:line="520" w:lineRule="exact"/>
        <w:rPr>
          <w:rFonts w:ascii="宋体" w:hAnsi="宋体" w:cs="宋体"/>
          <w:color w:val="auto"/>
          <w:szCs w:val="21"/>
          <w:highlight w:val="none"/>
        </w:rPr>
      </w:pPr>
      <w:r>
        <w:rPr>
          <w:rFonts w:hint="eastAsia" w:ascii="宋体" w:hAnsi="宋体" w:cs="宋体"/>
          <w:color w:val="auto"/>
          <w:szCs w:val="21"/>
          <w:highlight w:val="none"/>
          <w:u w:val="single"/>
        </w:rPr>
        <w:t xml:space="preserve">（法定代表人姓名）</w:t>
      </w:r>
      <w:r>
        <w:rPr>
          <w:rFonts w:hint="eastAsia" w:ascii="宋体" w:hAnsi="宋体" w:cs="宋体"/>
          <w:color w:val="auto"/>
          <w:szCs w:val="21"/>
          <w:highlight w:val="none"/>
        </w:rPr>
        <w:t xml:space="preserve">在</w:t>
      </w:r>
      <w:r>
        <w:rPr>
          <w:rFonts w:hint="eastAsia" w:ascii="宋体" w:hAnsi="宋体" w:cs="宋体"/>
          <w:color w:val="auto"/>
          <w:szCs w:val="21"/>
          <w:highlight w:val="none"/>
          <w:u w:val="single"/>
        </w:rPr>
        <w:t xml:space="preserve">（供应商名称）</w:t>
      </w:r>
      <w:r>
        <w:rPr>
          <w:rFonts w:hint="eastAsia" w:ascii="宋体" w:hAnsi="宋体" w:cs="宋体"/>
          <w:color w:val="auto"/>
          <w:szCs w:val="21"/>
          <w:highlight w:val="none"/>
          <w:lang w:val="en-US" w:eastAsia="zh-CN"/>
        </w:rPr>
        <w:t xml:space="preserve">担</w:t>
      </w:r>
      <w:r>
        <w:rPr>
          <w:rFonts w:hint="eastAsia" w:ascii="宋体" w:hAnsi="宋体" w:cs="宋体"/>
          <w:color w:val="auto"/>
          <w:szCs w:val="21"/>
          <w:highlight w:val="none"/>
        </w:rPr>
        <w:t xml:space="preserve">任</w:t>
      </w:r>
      <w:r>
        <w:rPr>
          <w:rFonts w:hint="eastAsia" w:ascii="宋体" w:hAnsi="宋体" w:cs="宋体"/>
          <w:color w:val="auto"/>
          <w:szCs w:val="21"/>
          <w:highlight w:val="none"/>
          <w:u w:val="single"/>
        </w:rPr>
        <w:t xml:space="preserve">（职务名称）</w:t>
      </w:r>
      <w:r>
        <w:rPr>
          <w:rFonts w:hint="eastAsia" w:ascii="宋体" w:hAnsi="宋体" w:cs="宋体"/>
          <w:color w:val="auto"/>
          <w:szCs w:val="21"/>
          <w:highlight w:val="none"/>
        </w:rPr>
        <w:t xml:space="preserve">职务，是</w:t>
      </w:r>
      <w:r>
        <w:rPr>
          <w:rFonts w:hint="eastAsia" w:ascii="宋体" w:hAnsi="宋体" w:cs="宋体"/>
          <w:color w:val="auto"/>
          <w:szCs w:val="21"/>
          <w:highlight w:val="none"/>
          <w:u w:val="single"/>
        </w:rPr>
        <w:t xml:space="preserve">（供应商名称）</w:t>
      </w:r>
      <w:r>
        <w:rPr>
          <w:rFonts w:hint="eastAsia" w:ascii="宋体" w:hAnsi="宋体" w:cs="宋体"/>
          <w:color w:val="auto"/>
          <w:szCs w:val="21"/>
          <w:highlight w:val="none"/>
        </w:rPr>
        <w:t xml:space="preserve">的法定代表人。</w:t>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315"/>
        <w:jc w:val="left"/>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315"/>
        <w:jc w:val="left"/>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特此证明。</w:t>
      </w:r>
      <w:r/>
    </w:p>
    <w:p>
      <w:pPr>
        <w:ind w:firstLine="315"/>
        <w:jc w:val="left"/>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单位名称：（</w:t>
      </w:r>
      <w:r>
        <w:rPr>
          <w:rFonts w:hint="eastAsia" w:ascii="宋体" w:hAnsi="宋体" w:cs="宋体"/>
          <w:color w:val="auto"/>
          <w:szCs w:val="21"/>
          <w:highlight w:val="none"/>
        </w:rPr>
        <w:t xml:space="preserve">加盖CA电子公章</w:t>
      </w:r>
      <w:r>
        <w:rPr>
          <w:rFonts w:hint="eastAsia" w:ascii="宋体" w:hAnsi="宋体" w:cs="宋体"/>
          <w:color w:val="auto"/>
          <w:szCs w:val="21"/>
          <w:highlight w:val="none"/>
        </w:rPr>
        <w:t xml:space="preserve">）</w:t>
      </w:r>
      <w:r/>
    </w:p>
    <w:p>
      <w:pPr>
        <w:ind w:firstLine="315"/>
        <w:jc w:val="left"/>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日期：年 月 日</w:t>
      </w:r>
      <w:r/>
    </w:p>
    <w:p>
      <w:pPr>
        <w:ind w:firstLine="480"/>
        <w:spacing w:line="520" w:lineRule="exact"/>
        <w:rPr>
          <w:rFonts w:ascii="宋体" w:hAnsi="宋体"/>
          <w:color w:val="auto"/>
          <w:szCs w:val="21"/>
          <w:highlight w:val="none"/>
        </w:rPr>
      </w:pPr>
      <w:r>
        <w:rPr>
          <w:rFonts w:hint="eastAsia" w:ascii="宋体" w:hAnsi="宋体"/>
          <w:color w:val="auto"/>
          <w:szCs w:val="21"/>
          <w:highlight w:val="none"/>
        </w:rPr>
        <w:t xml:space="preserve">说明：上述证明文件在响应文件中附有法定代表人身份证扫描件或护照扫描件（供应商的法定代表人为外籍人士的，则提供护照扫描件）时才能生效；</w:t>
      </w:r>
      <w:r/>
    </w:p>
    <w:p>
      <w:pPr>
        <w:ind w:firstLine="480"/>
        <w:spacing w:line="520" w:lineRule="exact"/>
        <w:rPr>
          <w:rFonts w:ascii="宋体" w:hAnsi="宋体"/>
          <w:color w:val="auto"/>
          <w:szCs w:val="21"/>
          <w:highlight w:val="none"/>
        </w:rPr>
      </w:pPr>
      <w:r>
        <w:rPr>
          <w:rFonts w:hint="eastAsia" w:ascii="宋体" w:hAnsi="宋体"/>
          <w:color w:val="auto"/>
          <w:szCs w:val="21"/>
          <w:highlight w:val="none"/>
        </w:rPr>
        <w:t xml:space="preserve"> </w:t>
      </w:r>
      <w:r/>
    </w:p>
    <w:p>
      <w:pPr>
        <w:ind w:firstLine="480"/>
        <w:spacing w:line="520" w:lineRule="exact"/>
        <w:rPr>
          <w:rFonts w:ascii="宋体" w:hAnsi="宋体"/>
          <w:color w:val="auto"/>
          <w:szCs w:val="21"/>
          <w:highlight w:val="none"/>
        </w:rPr>
      </w:pPr>
      <w:r>
        <w:rPr>
          <w:rFonts w:hint="eastAsia" w:ascii="宋体" w:hAnsi="宋体"/>
          <w:color w:val="auto"/>
          <w:szCs w:val="21"/>
          <w:highlight w:val="none"/>
        </w:rPr>
        <w:t xml:space="preserve">法定代表人身份证扫描件（正反两面）：</w:t>
      </w:r>
      <w:r/>
    </w:p>
    <w:p>
      <w:pPr>
        <w:ind w:firstLine="480"/>
        <w:rPr>
          <w:rFonts w:ascii="宋体" w:hAnsi="宋体"/>
          <w:color w:val="auto"/>
          <w:szCs w:val="21"/>
          <w:highlight w:val="none"/>
        </w:rPr>
      </w:pPr>
      <w:r>
        <w:rPr>
          <w:rFonts w:hint="eastAsia" w:ascii="宋体" w:hAnsi="宋体"/>
          <w:color w:val="auto"/>
          <w:szCs w:val="21"/>
          <w:highlight w:val="none"/>
        </w:rPr>
        <w:t xml:space="preserve"> </w:t>
      </w:r>
      <w:r/>
    </w:p>
    <w:tbl>
      <w:tblPr>
        <w:tblStyle w:val="1157"/>
        <w:tblW w:w="0" w:type="auto"/>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31"/>
        <w:gridCol w:w="649"/>
        <w:gridCol w:w="4027"/>
      </w:tblGrid>
      <w:tr>
        <w:trPr>
          <w:trHeight w:val="2656"/>
        </w:trPr>
        <w:tc>
          <w:tcPr>
            <w:tcBorders>
              <w:top w:val="single" w:color="auto" w:sz="4" w:space="0"/>
              <w:left w:val="single" w:color="auto" w:sz="4" w:space="0"/>
              <w:bottom w:val="single" w:color="auto" w:sz="4" w:space="0"/>
              <w:right w:val="single" w:color="auto" w:sz="4" w:space="0"/>
            </w:tcBorders>
            <w:tcW w:w="4031" w:type="dxa"/>
            <w:textDirection w:val="lrTb"/>
            <w:noWrap w:val="false"/>
          </w:tcPr>
          <w:p>
            <w:pPr>
              <w:ind w:firstLine="480"/>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hint="eastAsia" w:ascii="宋体" w:hAnsi="宋体"/>
                <w:color w:val="auto"/>
                <w:szCs w:val="21"/>
                <w:highlight w:val="none"/>
              </w:rPr>
              <w:t xml:space="preserve">法定代表人身份证正面扫描件</w:t>
            </w:r>
            <w:r/>
          </w:p>
          <w:p>
            <w:pPr>
              <w:ind w:firstLine="480"/>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none" w:color="000000" w:sz="4" w:space="0"/>
              <w:right w:val="single" w:color="auto" w:sz="4" w:space="0"/>
            </w:tcBorders>
            <w:tcW w:w="649" w:type="dxa"/>
            <w:textDirection w:val="lrTb"/>
            <w:noWrap w:val="false"/>
          </w:tcPr>
          <w:p>
            <w:pPr>
              <w:ind w:left="621" w:firstLine="480"/>
              <w:rPr>
                <w:rFonts w:ascii="宋体" w:hAnsi="宋体"/>
                <w:color w:val="auto"/>
                <w:szCs w:val="21"/>
                <w:highlight w:val="none"/>
              </w:rPr>
            </w:pPr>
            <w:r>
              <w:rPr>
                <w:rFonts w:ascii="宋体" w:hAnsi="宋体"/>
                <w:color w:val="auto"/>
                <w:szCs w:val="21"/>
                <w:highlight w:val="none"/>
              </w:rPr>
            </w:r>
            <w:r/>
          </w:p>
          <w:p>
            <w:pPr>
              <w:jc w:val="left"/>
              <w:widowControl/>
              <w:rPr>
                <w:rFonts w:ascii="宋体" w:hAnsi="宋体" w:cs="宋体"/>
                <w:color w:val="auto"/>
                <w:szCs w:val="21"/>
                <w:highlight w:val="none"/>
              </w:rPr>
            </w:pPr>
            <w:r>
              <w:rPr>
                <w:rFonts w:ascii="宋体" w:hAnsi="宋体" w:cs="宋体"/>
                <w:color w:val="auto"/>
                <w:szCs w:val="21"/>
                <w:highlight w:val="none"/>
              </w:rPr>
            </w:r>
            <w:r/>
          </w:p>
          <w:p>
            <w:pPr>
              <w:jc w:val="left"/>
              <w:widowControl/>
              <w:rPr>
                <w:rFonts w:ascii="宋体" w:hAnsi="宋体" w:cs="宋体"/>
                <w:color w:val="auto"/>
                <w:szCs w:val="21"/>
                <w:highlight w:val="none"/>
              </w:rPr>
            </w:pPr>
            <w:r>
              <w:rPr>
                <w:rFonts w:ascii="宋体" w:hAnsi="宋体" w:cs="宋体"/>
                <w:color w:val="auto"/>
                <w:szCs w:val="21"/>
                <w:highlight w:val="none"/>
              </w:rPr>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 </w:t>
            </w:r>
            <w:r/>
          </w:p>
          <w:p>
            <w:pPr>
              <w:jc w:val="left"/>
              <w:widowControl/>
              <w:rPr>
                <w:rFonts w:ascii="宋体" w:hAnsi="宋体" w:cs="宋体"/>
                <w:color w:val="auto"/>
                <w:szCs w:val="21"/>
                <w:highlight w:val="none"/>
              </w:rPr>
            </w:pPr>
            <w:r>
              <w:rPr>
                <w:rFonts w:ascii="宋体" w:hAnsi="宋体" w:cs="宋体"/>
                <w:color w:val="auto"/>
                <w:szCs w:val="21"/>
                <w:highlight w:val="none"/>
              </w:rPr>
            </w:r>
            <w:r/>
          </w:p>
          <w:p>
            <w:pPr>
              <w:jc w:val="left"/>
              <w:widowControl/>
              <w:rPr>
                <w:rFonts w:ascii="宋体" w:hAnsi="宋体" w:cs="宋体"/>
                <w:color w:val="auto"/>
                <w:szCs w:val="21"/>
                <w:highlight w:val="none"/>
              </w:rPr>
            </w:pPr>
            <w:r>
              <w:rPr>
                <w:rFonts w:ascii="宋体" w:hAnsi="宋体" w:cs="宋体"/>
                <w:color w:val="auto"/>
                <w:szCs w:val="21"/>
                <w:highlight w:val="none"/>
              </w:rPr>
            </w:r>
            <w:r/>
          </w:p>
          <w:p>
            <w:pPr>
              <w:ind w:firstLine="480"/>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027" w:type="dxa"/>
            <w:textDirection w:val="lrTb"/>
            <w:noWrap w:val="false"/>
          </w:tcPr>
          <w:p>
            <w:pPr>
              <w:ind w:firstLine="480"/>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hint="eastAsia" w:ascii="宋体" w:hAnsi="宋体"/>
                <w:color w:val="auto"/>
                <w:szCs w:val="21"/>
                <w:highlight w:val="none"/>
              </w:rPr>
              <w:t xml:space="preserve">法定代表人身份证反面扫描件</w:t>
            </w:r>
            <w:r/>
          </w:p>
          <w:p>
            <w:pPr>
              <w:ind w:firstLine="1417"/>
              <w:rPr>
                <w:rFonts w:ascii="宋体" w:hAnsi="宋体"/>
                <w:color w:val="auto"/>
                <w:szCs w:val="21"/>
                <w:highlight w:val="none"/>
              </w:rPr>
            </w:pPr>
            <w:r>
              <w:rPr>
                <w:rFonts w:ascii="宋体" w:hAnsi="宋体"/>
                <w:color w:val="auto"/>
                <w:szCs w:val="21"/>
                <w:highlight w:val="none"/>
              </w:rPr>
            </w:r>
            <w:r/>
          </w:p>
        </w:tc>
      </w:tr>
    </w:tbl>
    <w:p>
      <w:pPr>
        <w:jc w:val="left"/>
        <w:rPr>
          <w:rFonts w:ascii="宋体" w:hAnsi="宋体" w:cs="宋体"/>
          <w:color w:val="auto"/>
          <w:szCs w:val="21"/>
          <w:highlight w:val="none"/>
        </w:rPr>
      </w:pPr>
      <w:r>
        <w:rPr>
          <w:rFonts w:hint="eastAsia" w:ascii="宋体" w:hAnsi="宋体" w:cs="宋体"/>
          <w:color w:val="auto"/>
          <w:szCs w:val="21"/>
          <w:highlight w:val="none"/>
        </w:rPr>
        <w:t xml:space="preserve"> </w:t>
      </w:r>
      <w:r/>
    </w:p>
    <w:p>
      <w:pPr>
        <w:rPr>
          <w:rFonts w:ascii="宋体" w:hAnsi="宋体" w:cs="宋体"/>
          <w:color w:val="auto"/>
          <w:szCs w:val="21"/>
          <w:highlight w:val="none"/>
        </w:rPr>
        <w:outlineLvl w:val="0"/>
      </w:pPr>
      <w:r>
        <w:rPr>
          <w:rFonts w:hint="eastAsia" w:ascii="宋体" w:hAnsi="宋体" w:cs="宋体"/>
          <w:color w:val="auto"/>
          <w:szCs w:val="21"/>
          <w:highlight w:val="none"/>
        </w:rPr>
        <w:br w:type="page" w:clear="all"/>
      </w:r>
      <w:bookmarkStart w:id="173" w:name="_Toc31117"/>
      <w:r/>
      <w:bookmarkEnd w:id="173"/>
      <w:r>
        <w:rPr>
          <w:rFonts w:hint="eastAsia" w:ascii="宋体" w:hAnsi="宋体" w:cs="宋体"/>
          <w:color w:val="auto"/>
          <w:szCs w:val="21"/>
          <w:highlight w:val="none"/>
        </w:rPr>
        <w:t xml:space="preserve"> </w:t>
      </w:r>
      <w:r/>
    </w:p>
    <w:p>
      <w:pPr>
        <w:rPr>
          <w:rFonts w:ascii="宋体" w:hAnsi="宋体" w:cs="宋体"/>
          <w:b/>
          <w:bCs/>
          <w:color w:val="auto"/>
          <w:sz w:val="28"/>
          <w:szCs w:val="28"/>
          <w:highlight w:val="none"/>
        </w:rPr>
        <w:outlineLvl w:val="0"/>
      </w:pPr>
      <w:r>
        <w:rPr>
          <w:rFonts w:hint="eastAsia" w:ascii="宋体" w:hAnsi="宋体" w:cs="宋体"/>
          <w:b/>
          <w:bCs/>
          <w:color w:val="auto"/>
          <w:szCs w:val="21"/>
          <w:highlight w:val="none"/>
        </w:rPr>
        <w:t xml:space="preserve">附件3：                             </w:t>
      </w:r>
      <w:r>
        <w:rPr>
          <w:rFonts w:hint="eastAsia" w:ascii="宋体" w:hAnsi="宋体" w:cs="宋体"/>
          <w:b/>
          <w:bCs/>
          <w:color w:val="auto"/>
          <w:sz w:val="28"/>
          <w:szCs w:val="28"/>
          <w:highlight w:val="none"/>
        </w:rPr>
        <w:t xml:space="preserve"> 法定代表人授权书</w:t>
      </w:r>
      <w:r/>
    </w:p>
    <w:p>
      <w:pPr>
        <w:jc w:val="center"/>
        <w:spacing w:line="40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 </w:t>
      </w:r>
      <w:r/>
    </w:p>
    <w:p>
      <w:pPr>
        <w:jc w:val="center"/>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 </w:t>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__________________（采购人名称）：</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本授权声明：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（供应商单位名称）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（法定代表人姓名、职务）授权</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（被委托代理人姓名、职务）为我方 “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项目磋商活动的合法代表，以我方名义全权处理该项目有关磋商、签订合同以及执行合同等一切事宜。</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特此声明。</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420"/>
        <w:spacing w:line="400" w:lineRule="exact"/>
        <w:rPr>
          <w:rFonts w:ascii="宋体" w:hAnsi="宋体"/>
          <w:color w:val="auto"/>
          <w:sz w:val="24"/>
          <w:highlight w:val="none"/>
        </w:rPr>
      </w:pPr>
      <w:r>
        <w:rPr>
          <w:rFonts w:hint="eastAsia" w:ascii="宋体" w:hAnsi="宋体" w:cs="宋体"/>
          <w:color w:val="auto"/>
          <w:szCs w:val="21"/>
          <w:highlight w:val="none"/>
        </w:rPr>
        <w:t xml:space="preserve">法定代表人或授权代表（签字或盖章</w:t>
      </w:r>
      <w:r>
        <w:rPr>
          <w:rFonts w:hint="eastAsia" w:ascii="宋体" w:hAnsi="宋体"/>
          <w:color w:val="auto"/>
          <w:sz w:val="24"/>
          <w:highlight w:val="none"/>
        </w:rPr>
        <w:t xml:space="preserve">）</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单位名称：（加盖CA电子公章）</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日    期：</w:t>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w:t>
      </w:r>
      <w:r/>
    </w:p>
    <w:p>
      <w:pPr>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 </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说明：</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一、上述证明文件在响应文件中附有代理人身份证扫描件时才能生效；</w:t>
      </w:r>
      <w:r/>
    </w:p>
    <w:p>
      <w:pPr>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 </w:t>
      </w:r>
      <w:r/>
    </w:p>
    <w:p>
      <w:pPr>
        <w:ind w:firstLine="480"/>
        <w:rPr>
          <w:rFonts w:ascii="宋体" w:hAnsi="宋体"/>
          <w:color w:val="auto"/>
          <w:szCs w:val="21"/>
          <w:highlight w:val="none"/>
        </w:rPr>
      </w:pPr>
      <w:r>
        <w:rPr>
          <w:rFonts w:hint="eastAsia" w:ascii="宋体" w:hAnsi="宋体"/>
          <w:color w:val="auto"/>
          <w:szCs w:val="21"/>
          <w:highlight w:val="none"/>
        </w:rPr>
        <w:t xml:space="preserve">授权代表身份证扫描件（正反两面）：</w:t>
      </w:r>
      <w:r/>
    </w:p>
    <w:p>
      <w:pPr>
        <w:ind w:firstLine="480"/>
        <w:rPr>
          <w:rFonts w:ascii="宋体" w:hAnsi="宋体"/>
          <w:color w:val="auto"/>
          <w:szCs w:val="21"/>
          <w:highlight w:val="none"/>
        </w:rPr>
      </w:pPr>
      <w:r>
        <w:rPr>
          <w:rFonts w:hint="eastAsia" w:ascii="宋体" w:hAnsi="宋体"/>
          <w:color w:val="auto"/>
          <w:szCs w:val="21"/>
          <w:highlight w:val="none"/>
        </w:rPr>
        <w:t xml:space="preserve"> </w:t>
      </w:r>
      <w:r/>
    </w:p>
    <w:tbl>
      <w:tblPr>
        <w:tblStyle w:val="1157"/>
        <w:tblW w:w="0" w:type="auto"/>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31"/>
        <w:gridCol w:w="469"/>
        <w:gridCol w:w="4207"/>
      </w:tblGrid>
      <w:tr>
        <w:trPr>
          <w:trHeight w:val="2673"/>
        </w:trPr>
        <w:tc>
          <w:tcPr>
            <w:tcBorders>
              <w:top w:val="single" w:color="auto" w:sz="4" w:space="0"/>
              <w:left w:val="single" w:color="auto" w:sz="4" w:space="0"/>
              <w:bottom w:val="single" w:color="auto" w:sz="4" w:space="0"/>
              <w:right w:val="single" w:color="auto" w:sz="4" w:space="0"/>
            </w:tcBorders>
            <w:tcW w:w="4031" w:type="dxa"/>
            <w:textDirection w:val="lrTb"/>
            <w:noWrap w:val="false"/>
          </w:tcPr>
          <w:p>
            <w:pPr>
              <w:ind w:firstLine="480"/>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hint="eastAsia" w:ascii="宋体" w:hAnsi="宋体"/>
                <w:color w:val="auto"/>
                <w:szCs w:val="21"/>
                <w:highlight w:val="none"/>
              </w:rPr>
              <w:t xml:space="preserve">被委托代理人身份证正面扫描件</w:t>
            </w:r>
            <w:r/>
          </w:p>
          <w:p>
            <w:pPr>
              <w:ind w:firstLine="480"/>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none" w:color="000000" w:sz="4" w:space="0"/>
              <w:right w:val="single" w:color="auto" w:sz="4" w:space="0"/>
            </w:tcBorders>
            <w:tcW w:w="469" w:type="dxa"/>
            <w:textDirection w:val="lrTb"/>
            <w:noWrap w:val="false"/>
          </w:tcPr>
          <w:p>
            <w:pPr>
              <w:jc w:val="left"/>
              <w:widowControl/>
              <w:rPr>
                <w:rFonts w:ascii="宋体" w:hAnsi="宋体" w:cs="宋体"/>
                <w:color w:val="auto"/>
                <w:szCs w:val="21"/>
                <w:highlight w:val="none"/>
              </w:rPr>
            </w:pPr>
            <w:r>
              <w:rPr>
                <w:rFonts w:hint="eastAsia" w:ascii="宋体" w:hAnsi="宋体"/>
                <w:color w:val="auto"/>
                <w:szCs w:val="21"/>
                <w:highlight w:val="none"/>
              </w:rPr>
              <w:t xml:space="preserve"> </w:t>
            </w:r>
            <w:r/>
          </w:p>
          <w:p>
            <w:pPr>
              <w:ind w:firstLine="480"/>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07" w:type="dxa"/>
            <w:textDirection w:val="lrTb"/>
            <w:noWrap w:val="false"/>
          </w:tcPr>
          <w:p>
            <w:pPr>
              <w:ind w:firstLine="480"/>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hint="eastAsia" w:ascii="宋体" w:hAnsi="宋体"/>
                <w:color w:val="auto"/>
                <w:szCs w:val="21"/>
                <w:highlight w:val="none"/>
              </w:rPr>
              <w:t xml:space="preserve">被委托代理人身份证反面扫描件</w:t>
            </w:r>
            <w:r/>
          </w:p>
          <w:p>
            <w:pPr>
              <w:ind w:firstLine="1417"/>
              <w:rPr>
                <w:rFonts w:ascii="宋体" w:hAnsi="宋体"/>
                <w:color w:val="auto"/>
                <w:szCs w:val="21"/>
                <w:highlight w:val="none"/>
              </w:rPr>
            </w:pPr>
            <w:r>
              <w:rPr>
                <w:rFonts w:ascii="宋体" w:hAnsi="宋体"/>
                <w:color w:val="auto"/>
                <w:szCs w:val="21"/>
                <w:highlight w:val="none"/>
              </w:rPr>
            </w:r>
            <w:r/>
          </w:p>
        </w:tc>
      </w:tr>
    </w:tbl>
    <w:p>
      <w:pPr>
        <w:ind w:right="105" w:firstLine="420"/>
        <w:spacing w:line="600" w:lineRule="exact"/>
        <w:rPr>
          <w:rFonts w:ascii="宋体" w:hAnsi="宋体" w:cs="宋体"/>
          <w:color w:val="auto"/>
          <w:szCs w:val="21"/>
          <w:highlight w:val="none"/>
        </w:rPr>
      </w:pPr>
      <w:r>
        <w:rPr>
          <w:rFonts w:hint="eastAsia" w:ascii="宋体" w:hAnsi="宋体" w:cs="宋体"/>
          <w:color w:val="auto"/>
          <w:szCs w:val="21"/>
          <w:highlight w:val="none"/>
        </w:rPr>
        <w:t xml:space="preserve"> </w:t>
      </w:r>
      <w:r/>
    </w:p>
    <w:p>
      <w:pPr>
        <w:jc w:val="center"/>
        <w:spacing w:line="56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 </w:t>
      </w:r>
      <w:r/>
    </w:p>
    <w:p>
      <w:pPr>
        <w:ind w:firstLine="480"/>
        <w:jc w:val="center"/>
        <w:spacing w:line="360" w:lineRule="auto"/>
        <w:rPr>
          <w:rFonts w:ascii="宋体" w:hAnsi="宋体"/>
          <w:b/>
          <w:bCs/>
          <w:color w:val="auto"/>
          <w:szCs w:val="21"/>
          <w:highlight w:val="none"/>
        </w:rPr>
      </w:pPr>
      <w:r>
        <w:rPr>
          <w:rFonts w:ascii="宋体" w:hAnsi="宋体"/>
          <w:b/>
          <w:bCs/>
          <w:color w:val="auto"/>
          <w:szCs w:val="21"/>
          <w:highlight w:val="none"/>
        </w:rPr>
      </w:r>
      <w:r/>
    </w:p>
    <w:p>
      <w:pPr>
        <w:ind w:firstLine="480"/>
        <w:jc w:val="center"/>
        <w:spacing w:line="360" w:lineRule="auto"/>
        <w:rPr>
          <w:rFonts w:ascii="宋体" w:hAnsi="宋体"/>
          <w:b/>
          <w:bCs/>
          <w:color w:val="auto"/>
          <w:szCs w:val="21"/>
          <w:highlight w:val="none"/>
        </w:rPr>
      </w:pPr>
      <w:r>
        <w:rPr>
          <w:rFonts w:hint="eastAsia" w:ascii="宋体" w:hAnsi="宋体"/>
          <w:b/>
          <w:bCs/>
          <w:color w:val="auto"/>
          <w:szCs w:val="21"/>
          <w:highlight w:val="none"/>
        </w:rPr>
        <w:t xml:space="preserve"> </w:t>
      </w:r>
      <w:r/>
    </w:p>
    <w:p>
      <w:pPr>
        <w:rPr>
          <w:rFonts w:ascii="宋体" w:hAnsi="宋体" w:cs="宋体"/>
          <w:b/>
          <w:bCs/>
          <w:color w:val="auto"/>
          <w:szCs w:val="21"/>
          <w:highlight w:val="none"/>
        </w:rPr>
        <w:sectPr>
          <w:headerReference w:type="default" r:id="rId11"/>
          <w:footerReference w:type="default" r:id="rId15"/>
          <w:footerReference w:type="first" r:id="rId16"/>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宋体" w:hAnsi="宋体" w:cs="宋体"/>
          <w:b/>
          <w:bCs/>
          <w:color w:val="auto"/>
          <w:szCs w:val="21"/>
          <w:highlight w:val="none"/>
        </w:rPr>
        <w:t xml:space="preserve"> </w:t>
      </w:r>
      <w:bookmarkStart w:id="174" w:name="_Toc25362"/>
      <w:r/>
      <w:bookmarkEnd w:id="174"/>
      <w:r/>
      <w:r/>
    </w:p>
    <w:p>
      <w:pPr>
        <w:spacing w:before="100" w:beforeAutospacing="1" w:line="360" w:lineRule="auto"/>
        <w:widowControl/>
        <w:rPr>
          <w:rFonts w:ascii="宋体" w:hAnsi="宋体"/>
          <w:b/>
          <w:bCs/>
          <w:color w:val="auto"/>
          <w:szCs w:val="21"/>
          <w:highlight w:val="none"/>
        </w:rPr>
        <w:outlineLvl w:val="0"/>
      </w:pPr>
      <w:r>
        <w:rPr>
          <w:rFonts w:hint="eastAsia" w:ascii="宋体" w:hAnsi="宋体"/>
          <w:b/>
          <w:bCs/>
          <w:color w:val="auto"/>
          <w:szCs w:val="21"/>
          <w:highlight w:val="none"/>
        </w:rPr>
        <w:t xml:space="preserve">附件4：                    </w:t>
      </w:r>
      <w:r>
        <w:rPr>
          <w:rFonts w:hint="eastAsia" w:ascii="宋体" w:hAnsi="宋体"/>
          <w:b/>
          <w:bCs/>
          <w:color w:val="auto"/>
          <w:sz w:val="28"/>
          <w:szCs w:val="28"/>
          <w:highlight w:val="none"/>
        </w:rPr>
        <w:t xml:space="preserve">    商务条款响应及偏离表</w:t>
      </w:r>
      <w:r/>
    </w:p>
    <w:p>
      <w:pPr>
        <w:ind w:firstLine="210"/>
        <w:rPr>
          <w:rFonts w:ascii="宋体" w:hAnsi="宋体" w:cs="宋体"/>
          <w:bCs/>
          <w:color w:val="auto"/>
          <w:szCs w:val="21"/>
          <w:highlight w:val="none"/>
        </w:rPr>
      </w:pPr>
      <w:r>
        <w:rPr>
          <w:rFonts w:hint="eastAsia" w:ascii="宋体" w:hAnsi="宋体" w:cs="宋体"/>
          <w:bCs/>
          <w:color w:val="auto"/>
          <w:szCs w:val="21"/>
          <w:highlight w:val="none"/>
        </w:rPr>
        <w:t xml:space="preserve">项目名称：</w:t>
      </w:r>
      <w:r>
        <w:rPr>
          <w:rFonts w:hint="eastAsia" w:ascii="宋体" w:hAnsi="宋体" w:cs="宋体"/>
          <w:bCs/>
          <w:color w:val="auto"/>
          <w:szCs w:val="21"/>
          <w:highlight w:val="none"/>
        </w:rPr>
        <w:tab/>
      </w:r>
      <w:r>
        <w:rPr>
          <w:rFonts w:hint="eastAsia" w:ascii="宋体" w:hAnsi="宋体" w:cs="宋体"/>
          <w:bCs/>
          <w:color w:val="auto"/>
          <w:szCs w:val="21"/>
          <w:highlight w:val="none"/>
        </w:rPr>
        <w:t xml:space="preserve">                                       项目编号：</w:t>
      </w:r>
      <w:r>
        <w:rPr>
          <w:rFonts w:hint="eastAsia" w:ascii="宋体" w:hAnsi="宋体" w:cs="宋体"/>
          <w:color w:val="auto"/>
          <w:szCs w:val="21"/>
          <w:highlight w:val="none"/>
        </w:rPr>
        <w:t xml:space="preserve"> </w:t>
      </w:r>
      <w:r/>
    </w:p>
    <w:tbl>
      <w:tblPr>
        <w:tblStyle w:val="11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jc w:val="center"/>
          <w:trHeight w:val="639"/>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pacing w:val="15"/>
                <w:szCs w:val="21"/>
                <w:highlight w:val="none"/>
              </w:rPr>
              <w:t xml:space="preserve">磋商文件项目需求</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ind w:firstLine="120"/>
              <w:jc w:val="center"/>
              <w:rPr>
                <w:rFonts w:ascii="宋体" w:hAnsi="宋体" w:cs="宋体"/>
                <w:color w:val="auto"/>
                <w:szCs w:val="21"/>
                <w:highlight w:val="none"/>
              </w:rPr>
            </w:pPr>
            <w:r>
              <w:rPr>
                <w:rFonts w:hint="eastAsia" w:ascii="宋体" w:hAnsi="宋体" w:cs="宋体"/>
                <w:color w:val="auto"/>
                <w:spacing w:val="15"/>
                <w:szCs w:val="21"/>
                <w:highlight w:val="none"/>
              </w:rPr>
              <w:t xml:space="preserve">响应文件具体响应情况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超出、</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符合或偏离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合同履行期限</w:t>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ascii="宋体" w:hAnsi="宋体" w:cs="宋体"/>
                <w:color w:val="auto"/>
                <w:szCs w:val="21"/>
                <w:highlight w:val="none"/>
              </w:rPr>
            </w:pPr>
            <w:r>
              <w:rPr>
                <w:rFonts w:hint="eastAsia" w:ascii="宋体" w:hAnsi="宋体" w:cs="仿宋_GB2312"/>
                <w:color w:val="auto"/>
                <w:szCs w:val="21"/>
                <w:highlight w:val="none"/>
                <w:lang w:val="zh-CN"/>
              </w:rPr>
              <w:t xml:space="preserve">服务地点</w:t>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ascii="宋体" w:hAnsi="宋体" w:cs="宋体"/>
                <w:color w:val="auto"/>
                <w:szCs w:val="21"/>
                <w:highlight w:val="none"/>
              </w:rPr>
            </w:pPr>
            <w:r>
              <w:rPr>
                <w:rFonts w:hint="eastAsia" w:ascii="宋体" w:hAnsi="宋体" w:cs="仿宋_GB2312"/>
                <w:color w:val="auto"/>
                <w:szCs w:val="21"/>
                <w:highlight w:val="none"/>
                <w:lang w:val="zh-CN"/>
              </w:rPr>
              <w:t xml:space="preserve">付款方式</w:t>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ascii="宋体" w:hAnsi="宋体" w:cs="宋体"/>
                <w:color w:val="auto"/>
                <w:szCs w:val="21"/>
                <w:highlight w:val="none"/>
              </w:rPr>
            </w:pPr>
            <w:r>
              <w:rPr>
                <w:rFonts w:hint="eastAsia" w:ascii="宋体" w:hAnsi="宋体" w:cs="仿宋_GB2312"/>
                <w:color w:val="auto"/>
                <w:szCs w:val="21"/>
                <w:highlight w:val="none"/>
                <w:lang w:val="zh-CN"/>
              </w:rPr>
              <w:t xml:space="preserve">其他商务要求</w:t>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48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ind w:hanging="105"/>
        <w:spacing w:line="500" w:lineRule="exact"/>
        <w:rPr>
          <w:rFonts w:ascii="宋体" w:hAnsi="宋体"/>
          <w:color w:val="auto"/>
          <w:szCs w:val="21"/>
          <w:highlight w:val="none"/>
        </w:rPr>
      </w:pPr>
      <w:r>
        <w:rPr>
          <w:rFonts w:hint="eastAsia" w:ascii="宋体" w:hAnsi="宋体"/>
          <w:color w:val="auto"/>
          <w:szCs w:val="21"/>
          <w:highlight w:val="none"/>
        </w:rPr>
        <w:t xml:space="preserve"> </w:t>
      </w:r>
      <w:r/>
    </w:p>
    <w:p>
      <w:pPr>
        <w:rPr>
          <w:rFonts w:ascii="宋体" w:hAnsi="宋体" w:cs="宋体"/>
          <w:color w:val="auto"/>
          <w:szCs w:val="21"/>
          <w:highlight w:val="none"/>
        </w:rPr>
      </w:pPr>
      <w:r>
        <w:rPr>
          <w:rFonts w:ascii="宋体" w:hAnsi="宋体" w:cs="宋体"/>
          <w:color w:val="auto"/>
          <w:szCs w:val="21"/>
          <w:highlight w:val="none"/>
        </w:rPr>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填写说明：</w:t>
      </w:r>
      <w:r/>
    </w:p>
    <w:p>
      <w:pPr>
        <w:ind w:firstLine="84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1.按照基本技术要求详细填列；</w:t>
      </w:r>
      <w:r/>
    </w:p>
    <w:p>
      <w:pPr>
        <w:ind w:firstLine="84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ind w:firstLine="420"/>
        <w:rPr>
          <w:rFonts w:ascii="宋体" w:hAnsi="宋体"/>
          <w:color w:val="auto"/>
          <w:szCs w:val="21"/>
          <w:highlight w:val="none"/>
        </w:rPr>
      </w:pPr>
      <w:r>
        <w:rPr>
          <w:rFonts w:hint="eastAsia" w:ascii="宋体" w:hAnsi="宋体"/>
          <w:color w:val="auto"/>
          <w:szCs w:val="21"/>
          <w:highlight w:val="none"/>
        </w:rPr>
        <w:t xml:space="preserve"> </w:t>
      </w:r>
      <w:r/>
    </w:p>
    <w:p>
      <w:pPr>
        <w:ind w:firstLine="420"/>
        <w:rPr>
          <w:rFonts w:ascii="宋体" w:hAnsi="宋体"/>
          <w:color w:val="auto"/>
          <w:szCs w:val="21"/>
          <w:highlight w:val="none"/>
        </w:rPr>
      </w:pPr>
      <w:r>
        <w:rPr>
          <w:rFonts w:hint="eastAsia" w:ascii="宋体" w:hAnsi="宋体"/>
          <w:color w:val="auto"/>
          <w:szCs w:val="21"/>
          <w:highlight w:val="none"/>
        </w:rPr>
        <w:t xml:space="preserve"> </w:t>
      </w:r>
      <w:r/>
    </w:p>
    <w:p>
      <w:pPr>
        <w:ind w:firstLine="420"/>
        <w:rPr>
          <w:rFonts w:ascii="宋体" w:hAnsi="宋体"/>
          <w:color w:val="auto"/>
          <w:szCs w:val="21"/>
          <w:highlight w:val="none"/>
        </w:rPr>
      </w:pPr>
      <w:r>
        <w:rPr>
          <w:rFonts w:hint="eastAsia" w:ascii="宋体" w:hAnsi="宋体"/>
          <w:color w:val="auto"/>
          <w:szCs w:val="21"/>
          <w:highlight w:val="none"/>
        </w:rPr>
        <w:t xml:space="preserve"> </w:t>
      </w:r>
      <w:r/>
    </w:p>
    <w:p>
      <w:pPr>
        <w:ind w:firstLine="420"/>
        <w:rPr>
          <w:rFonts w:ascii="宋体" w:hAnsi="宋体"/>
          <w:color w:val="auto"/>
          <w:szCs w:val="21"/>
          <w:highlight w:val="none"/>
        </w:rPr>
      </w:pPr>
      <w:r>
        <w:rPr>
          <w:rFonts w:hint="eastAsia" w:ascii="宋体" w:hAnsi="宋体"/>
          <w:color w:val="auto"/>
          <w:szCs w:val="21"/>
          <w:highlight w:val="none"/>
        </w:rPr>
        <w:t xml:space="preserve"> </w:t>
      </w:r>
      <w:r/>
    </w:p>
    <w:p>
      <w:pPr>
        <w:ind w:firstLine="420"/>
        <w:rPr>
          <w:rFonts w:ascii="宋体" w:hAnsi="宋体"/>
          <w:color w:val="auto"/>
          <w:szCs w:val="21"/>
          <w:highlight w:val="none"/>
        </w:rPr>
      </w:pPr>
      <w:r>
        <w:rPr>
          <w:rFonts w:hint="eastAsia" w:ascii="宋体" w:hAnsi="宋体"/>
          <w:color w:val="auto"/>
          <w:szCs w:val="21"/>
          <w:highlight w:val="none"/>
        </w:rPr>
        <w:t xml:space="preserve"> </w:t>
      </w:r>
      <w:r/>
    </w:p>
    <w:p>
      <w:pPr>
        <w:ind w:firstLine="420"/>
        <w:rPr>
          <w:rFonts w:ascii="宋体" w:hAnsi="宋体"/>
          <w:color w:val="auto"/>
          <w:szCs w:val="21"/>
          <w:highlight w:val="none"/>
        </w:rPr>
      </w:pPr>
      <w:r>
        <w:rPr>
          <w:rFonts w:hint="eastAsia" w:ascii="宋体" w:hAnsi="宋体"/>
          <w:color w:val="auto"/>
          <w:szCs w:val="21"/>
          <w:highlight w:val="none"/>
        </w:rPr>
        <w:t xml:space="preserve"> </w:t>
      </w:r>
      <w:r/>
    </w:p>
    <w:p>
      <w:pPr>
        <w:ind w:firstLine="420"/>
        <w:rPr>
          <w:rFonts w:ascii="宋体" w:hAnsi="宋体"/>
          <w:color w:val="auto"/>
          <w:szCs w:val="21"/>
          <w:highlight w:val="none"/>
        </w:rPr>
      </w:pPr>
      <w:r>
        <w:rPr>
          <w:rFonts w:hint="eastAsia" w:ascii="宋体" w:hAnsi="宋体"/>
          <w:color w:val="auto"/>
          <w:szCs w:val="21"/>
          <w:highlight w:val="none"/>
        </w:rPr>
        <w:t xml:space="preserve"> </w:t>
      </w:r>
      <w:r/>
    </w:p>
    <w:p>
      <w:pPr>
        <w:ind w:firstLine="420"/>
        <w:rPr>
          <w:rFonts w:ascii="宋体" w:hAnsi="宋体"/>
          <w:color w:val="auto"/>
          <w:szCs w:val="21"/>
          <w:highlight w:val="none"/>
        </w:rPr>
      </w:pPr>
      <w:r>
        <w:rPr>
          <w:rFonts w:hint="eastAsia" w:ascii="宋体" w:hAnsi="宋体"/>
          <w:color w:val="auto"/>
          <w:szCs w:val="21"/>
          <w:highlight w:val="none"/>
        </w:rPr>
        <w:t xml:space="preserve"> </w:t>
      </w:r>
      <w:r/>
    </w:p>
    <w:p>
      <w:pPr>
        <w:pStyle w:val="1161"/>
        <w:rPr>
          <w:color w:val="auto"/>
          <w:highlight w:val="none"/>
        </w:rPr>
      </w:pPr>
      <w:r>
        <w:rPr>
          <w:color w:val="auto"/>
          <w:highlight w:val="none"/>
        </w:rPr>
      </w:r>
      <w:r/>
    </w:p>
    <w:p>
      <w:pPr>
        <w:pStyle w:val="1161"/>
        <w:rPr>
          <w:color w:val="auto"/>
          <w:highlight w:val="none"/>
        </w:rPr>
      </w:pPr>
      <w:r>
        <w:rPr>
          <w:color w:val="auto"/>
          <w:highlight w:val="none"/>
        </w:rPr>
      </w:r>
      <w:r/>
    </w:p>
    <w:p>
      <w:pPr>
        <w:pStyle w:val="1161"/>
        <w:rPr>
          <w:color w:val="auto"/>
          <w:highlight w:val="none"/>
        </w:rPr>
      </w:pPr>
      <w:r>
        <w:rPr>
          <w:color w:val="auto"/>
          <w:highlight w:val="none"/>
        </w:rPr>
      </w:r>
      <w:r/>
    </w:p>
    <w:p>
      <w:pPr>
        <w:pStyle w:val="1161"/>
        <w:rPr>
          <w:color w:val="auto"/>
          <w:highlight w:val="none"/>
        </w:rPr>
      </w:pPr>
      <w:r>
        <w:rPr>
          <w:color w:val="auto"/>
          <w:highlight w:val="none"/>
        </w:rPr>
      </w:r>
      <w:r/>
    </w:p>
    <w:p>
      <w:pPr>
        <w:pStyle w:val="1161"/>
        <w:rPr>
          <w:color w:val="auto"/>
          <w:highlight w:val="none"/>
        </w:rPr>
      </w:pPr>
      <w:r>
        <w:rPr>
          <w:color w:val="auto"/>
          <w:highlight w:val="none"/>
        </w:rPr>
      </w:r>
      <w:r>
        <w:rPr>
          <w:color w:val="auto"/>
          <w:highlight w:val="none"/>
        </w:rPr>
      </w:r>
      <w:r/>
    </w:p>
    <w:p>
      <w:pPr>
        <w:pStyle w:val="1161"/>
        <w:rPr>
          <w:color w:val="auto"/>
          <w:highlight w:val="none"/>
        </w:rPr>
      </w:pPr>
      <w:r>
        <w:rPr>
          <w:color w:val="auto"/>
          <w:highlight w:val="none"/>
        </w:rPr>
      </w:r>
      <w:r>
        <w:rPr>
          <w:color w:val="auto"/>
          <w:highlight w:val="none"/>
        </w:rPr>
      </w:r>
      <w:r/>
    </w:p>
    <w:p>
      <w:pPr>
        <w:pStyle w:val="1161"/>
        <w:rPr>
          <w:color w:val="auto"/>
          <w:highlight w:val="none"/>
        </w:rPr>
      </w:pPr>
      <w:r>
        <w:rPr>
          <w:color w:val="auto"/>
          <w:highlight w:val="none"/>
        </w:rPr>
      </w:r>
      <w:r>
        <w:rPr>
          <w:color w:val="auto"/>
          <w:highlight w:val="none"/>
        </w:rPr>
      </w:r>
      <w:r/>
    </w:p>
    <w:p>
      <w:pPr>
        <w:pStyle w:val="1161"/>
        <w:rPr>
          <w:color w:val="auto"/>
          <w:highlight w:val="none"/>
        </w:rPr>
      </w:pPr>
      <w:r>
        <w:rPr>
          <w:color w:val="auto"/>
          <w:highlight w:val="none"/>
        </w:rPr>
      </w:r>
      <w:r/>
    </w:p>
    <w:p>
      <w:pPr>
        <w:pStyle w:val="1161"/>
        <w:rPr>
          <w:color w:val="auto"/>
          <w:highlight w:val="none"/>
        </w:rPr>
      </w:pPr>
      <w:r>
        <w:rPr>
          <w:color w:val="auto"/>
          <w:highlight w:val="none"/>
        </w:rPr>
      </w:r>
      <w:r/>
    </w:p>
    <w:p>
      <w:pPr>
        <w:pStyle w:val="1161"/>
        <w:rPr>
          <w:color w:val="auto"/>
          <w:highlight w:val="none"/>
        </w:rPr>
      </w:pPr>
      <w:r>
        <w:rPr>
          <w:color w:val="auto"/>
          <w:highlight w:val="none"/>
        </w:rPr>
      </w:r>
      <w:r/>
    </w:p>
    <w:p>
      <w:pPr>
        <w:pStyle w:val="1166"/>
        <w:rPr>
          <w:color w:val="auto"/>
          <w:highlight w:val="none"/>
        </w:rPr>
      </w:pPr>
      <w:r>
        <w:rPr>
          <w:color w:val="auto"/>
          <w:highlight w:val="none"/>
        </w:rPr>
      </w:r>
      <w:r/>
    </w:p>
    <w:p>
      <w:pPr>
        <w:pStyle w:val="1149"/>
        <w:numPr>
          <w:ilvl w:val="2"/>
          <w:numId w:val="0"/>
        </w:numPr>
        <w:spacing w:line="360" w:lineRule="exact"/>
        <w:rPr>
          <w:rFonts w:ascii="宋体" w:hAnsi="宋体"/>
          <w:color w:val="auto"/>
          <w:sz w:val="21"/>
          <w:szCs w:val="21"/>
          <w:highlight w:val="none"/>
        </w:rPr>
      </w:pPr>
      <w:r>
        <w:rPr>
          <w:rFonts w:hint="eastAsia" w:ascii="宋体" w:hAnsi="宋体"/>
          <w:b/>
          <w:bCs/>
          <w:color w:val="auto"/>
          <w:sz w:val="21"/>
          <w:szCs w:val="21"/>
          <w:highlight w:val="none"/>
        </w:rPr>
        <w:t xml:space="preserve">附件5：</w:t>
      </w:r>
      <w:r/>
    </w:p>
    <w:p>
      <w:pPr>
        <w:pStyle w:val="1149"/>
        <w:numPr>
          <w:ilvl w:val="2"/>
          <w:numId w:val="0"/>
        </w:numPr>
        <w:ind w:left="400"/>
        <w:jc w:val="center"/>
        <w:spacing w:line="3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采购需求响应及偏离表</w:t>
      </w:r>
      <w:r/>
    </w:p>
    <w:p>
      <w:pPr>
        <w:rPr>
          <w:rFonts w:ascii="宋体" w:hAnsi="宋体" w:cs="宋体"/>
          <w:bCs/>
          <w:color w:val="auto"/>
          <w:szCs w:val="21"/>
          <w:highlight w:val="none"/>
        </w:rPr>
      </w:pPr>
      <w:r>
        <w:rPr>
          <w:rFonts w:hint="eastAsia" w:ascii="宋体" w:hAnsi="宋体" w:cs="宋体"/>
          <w:bCs/>
          <w:color w:val="auto"/>
          <w:szCs w:val="21"/>
          <w:highlight w:val="none"/>
        </w:rPr>
        <w:t xml:space="preserve">项目名称：</w:t>
      </w:r>
      <w:r>
        <w:rPr>
          <w:rFonts w:hint="eastAsia" w:ascii="宋体" w:hAnsi="宋体" w:cs="宋体"/>
          <w:bCs/>
          <w:color w:val="auto"/>
          <w:szCs w:val="21"/>
          <w:highlight w:val="none"/>
        </w:rPr>
        <w:tab/>
      </w:r>
      <w:r>
        <w:rPr>
          <w:rFonts w:hint="eastAsia" w:ascii="宋体" w:hAnsi="宋体" w:cs="宋体"/>
          <w:bCs/>
          <w:color w:val="auto"/>
          <w:szCs w:val="21"/>
          <w:highlight w:val="none"/>
        </w:rPr>
        <w:t xml:space="preserve">                                       项目编号：</w:t>
      </w:r>
      <w:r/>
    </w:p>
    <w:tbl>
      <w:tblPr>
        <w:tblStyle w:val="11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852" w:type="dxa"/>
            <w:vAlign w:val="center"/>
            <w:textDirection w:val="lrTb"/>
            <w:noWrap w:val="false"/>
          </w:tcPr>
          <w:p>
            <w:pPr>
              <w:rPr>
                <w:rFonts w:ascii="宋体" w:hAnsi="宋体" w:cs="宋体"/>
                <w:color w:val="auto"/>
                <w:szCs w:val="21"/>
                <w:highlight w:val="none"/>
              </w:rPr>
            </w:pPr>
            <w:r>
              <w:rPr>
                <w:rFonts w:hint="eastAsia" w:ascii="宋体" w:hAnsi="宋体" w:cs="宋体"/>
                <w:color w:val="auto"/>
                <w:spacing w:val="15"/>
                <w:szCs w:val="21"/>
                <w:highlight w:val="none"/>
              </w:rPr>
              <w:t xml:space="preserve">磋商文件采购需求</w:t>
            </w:r>
            <w:r/>
          </w:p>
        </w:tc>
        <w:tc>
          <w:tcPr>
            <w:tcW w:w="2852" w:type="dxa"/>
            <w:vAlign w:val="center"/>
            <w:textDirection w:val="lrTb"/>
            <w:noWrap w:val="false"/>
          </w:tcPr>
          <w:p>
            <w:pPr>
              <w:ind w:firstLine="120"/>
              <w:rPr>
                <w:rFonts w:ascii="宋体" w:hAnsi="宋体" w:cs="宋体"/>
                <w:color w:val="auto"/>
                <w:szCs w:val="21"/>
                <w:highlight w:val="none"/>
              </w:rPr>
            </w:pPr>
            <w:r>
              <w:rPr>
                <w:rFonts w:hint="eastAsia" w:ascii="宋体" w:hAnsi="宋体" w:cs="宋体"/>
                <w:color w:val="auto"/>
                <w:spacing w:val="15"/>
                <w:szCs w:val="21"/>
                <w:highlight w:val="none"/>
              </w:rPr>
              <w:t xml:space="preserve">响应文件具体响应情况</w:t>
            </w:r>
            <w:r/>
          </w:p>
        </w:tc>
        <w:tc>
          <w:tcPr>
            <w:tcW w:w="1308"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超出、</w:t>
            </w:r>
            <w:r/>
          </w:p>
          <w:p>
            <w:pPr>
              <w:rPr>
                <w:rFonts w:ascii="宋体" w:hAnsi="宋体" w:cs="宋体"/>
                <w:color w:val="auto"/>
                <w:szCs w:val="21"/>
                <w:highlight w:val="none"/>
              </w:rPr>
            </w:pPr>
            <w:r>
              <w:rPr>
                <w:rFonts w:hint="eastAsia" w:ascii="宋体" w:hAnsi="宋体" w:cs="宋体"/>
                <w:color w:val="auto"/>
                <w:szCs w:val="21"/>
                <w:highlight w:val="none"/>
              </w:rPr>
              <w:t xml:space="preserve">符合或偏离</w:t>
            </w:r>
            <w:r/>
          </w:p>
        </w:tc>
        <w:tc>
          <w:tcPr>
            <w:tcW w:w="117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cantSplit/>
          <w:trHeight w:val="640"/>
        </w:trPr>
        <w:tc>
          <w:tcPr>
            <w:tcW w:w="98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0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7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0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7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0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7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0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7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0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7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0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7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0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7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0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7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pStyle w:val="1166"/>
        <w:rPr>
          <w:color w:val="auto"/>
          <w:highlight w:val="none"/>
        </w:rPr>
      </w:pPr>
      <w:r>
        <w:rPr>
          <w:color w:val="auto"/>
          <w:highlight w:val="none"/>
        </w:rPr>
      </w:r>
      <w:r/>
    </w:p>
    <w:p>
      <w:pPr>
        <w:ind w:firstLine="420"/>
        <w:rPr>
          <w:rFonts w:ascii="宋体" w:hAnsi="宋体"/>
          <w:color w:val="auto"/>
          <w:szCs w:val="21"/>
          <w:highlight w:val="none"/>
        </w:rPr>
      </w:pPr>
      <w:r>
        <w:rPr>
          <w:rFonts w:hint="eastAsia" w:ascii="宋体" w:hAnsi="宋体"/>
          <w:color w:val="auto"/>
          <w:szCs w:val="21"/>
          <w:highlight w:val="none"/>
        </w:rPr>
        <w:t xml:space="preserve">  </w:t>
      </w:r>
      <w:r/>
    </w:p>
    <w:p>
      <w:pPr>
        <w:ind w:firstLine="420"/>
        <w:rPr>
          <w:rFonts w:ascii="宋体" w:hAnsi="宋体"/>
          <w:color w:val="auto"/>
          <w:szCs w:val="21"/>
          <w:highlight w:val="none"/>
        </w:rPr>
      </w:pPr>
      <w:r>
        <w:rPr>
          <w:rFonts w:hint="eastAsia" w:ascii="宋体" w:hAnsi="宋体"/>
          <w:color w:val="auto"/>
          <w:szCs w:val="21"/>
          <w:highlight w:val="none"/>
        </w:rPr>
        <w:t xml:space="preserve"> </w:t>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pStyle w:val="1149"/>
        <w:numPr>
          <w:ilvl w:val="2"/>
          <w:numId w:val="0"/>
        </w:numPr>
        <w:spacing w:line="360" w:lineRule="exact"/>
        <w:rPr>
          <w:rFonts w:ascii="宋体" w:hAnsi="宋体"/>
          <w:b/>
          <w:bCs/>
          <w:color w:val="auto"/>
          <w:sz w:val="21"/>
          <w:szCs w:val="21"/>
          <w:highlight w:val="none"/>
        </w:rPr>
      </w:pPr>
      <w:r/>
      <w:bookmarkStart w:id="175" w:name="_Toc7415"/>
      <w:r/>
      <w:bookmarkEnd w:id="175"/>
      <w:r>
        <w:rPr>
          <w:rFonts w:hint="eastAsia" w:ascii="宋体" w:hAnsi="宋体"/>
          <w:b/>
          <w:bCs/>
          <w:color w:val="auto"/>
          <w:sz w:val="21"/>
          <w:szCs w:val="21"/>
          <w:highlight w:val="none"/>
        </w:rPr>
        <w:t xml:space="preserve">附件6：</w:t>
      </w:r>
      <w:r/>
    </w:p>
    <w:p>
      <w:pPr>
        <w:pStyle w:val="1161"/>
        <w:ind w:firstLine="3654"/>
        <w:rPr>
          <w:rFonts w:cs="宋体" w:asciiTheme="minorEastAsia" w:hAnsiTheme="minorEastAsia" w:eastAsiaTheme="minorEastAsia"/>
          <w:b/>
          <w:bCs/>
          <w:color w:val="auto"/>
          <w:sz w:val="28"/>
          <w:szCs w:val="28"/>
          <w:highlight w:val="none"/>
        </w:rPr>
      </w:pPr>
      <w:r>
        <w:rPr>
          <w:rFonts w:cs="宋体" w:asciiTheme="minorEastAsia" w:hAnsiTheme="minorEastAsia" w:eastAsiaTheme="minorEastAsia"/>
          <w:b/>
          <w:bCs/>
          <w:color w:val="auto"/>
          <w:sz w:val="28"/>
          <w:szCs w:val="28"/>
          <w:highlight w:val="none"/>
        </w:rPr>
        <w:t xml:space="preserve">磋商报价表</w:t>
      </w:r>
      <w:r/>
    </w:p>
    <w:p>
      <w:pPr>
        <w:pStyle w:val="1161"/>
        <w:jc w:val="center"/>
        <w:rPr>
          <w:rFonts w:cs="宋体" w:asciiTheme="minorEastAsia" w:hAnsiTheme="minorEastAsia" w:eastAsiaTheme="minorEastAsia"/>
          <w:b/>
          <w:bCs/>
          <w:color w:val="auto"/>
          <w:sz w:val="28"/>
          <w:szCs w:val="28"/>
          <w:highlight w:val="none"/>
        </w:rPr>
      </w:pPr>
      <w:r>
        <w:rPr>
          <w:rFonts w:cs="宋体" w:asciiTheme="minorEastAsia" w:hAnsiTheme="minorEastAsia" w:eastAsiaTheme="minorEastAsia"/>
          <w:b/>
          <w:bCs/>
          <w:color w:val="auto"/>
          <w:sz w:val="28"/>
          <w:szCs w:val="28"/>
          <w:highlight w:val="none"/>
        </w:rPr>
      </w:r>
      <w:r/>
    </w:p>
    <w:p>
      <w:pPr>
        <w:pStyle w:val="1161"/>
        <w:ind w:firstLine="0"/>
        <w:jc w:val="left"/>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本次为首次报价  </w:t>
      </w:r>
      <w:r>
        <w:rPr>
          <w:rFonts w:cs="宋体" w:asciiTheme="minorEastAsia" w:hAnsiTheme="minorEastAsia" w:eastAsiaTheme="minorEastAsia"/>
          <w:color w:val="auto"/>
          <w:sz w:val="24"/>
          <w:szCs w:val="24"/>
          <w:highlight w:val="none"/>
        </w:rPr>
        <w:t xml:space="preserve">              </w:t>
      </w:r>
      <w:r>
        <w:rPr>
          <w:rFonts w:hint="eastAsia" w:cs="宋体" w:asciiTheme="minorEastAsia" w:hAnsiTheme="minorEastAsia" w:eastAsiaTheme="minorEastAsia"/>
          <w:color w:val="auto"/>
          <w:sz w:val="24"/>
          <w:szCs w:val="24"/>
          <w:highlight w:val="none"/>
        </w:rPr>
        <w:t xml:space="preserve"> </w:t>
      </w:r>
      <w:r>
        <w:rPr>
          <w:rFonts w:cs="宋体" w:asciiTheme="minorEastAsia" w:hAnsiTheme="minorEastAsia" w:eastAsiaTheme="minorEastAsia"/>
          <w:color w:val="auto"/>
          <w:sz w:val="24"/>
          <w:szCs w:val="24"/>
          <w:highlight w:val="none"/>
        </w:rPr>
        <w:t xml:space="preserve">货币单位：人民币元</w:t>
      </w:r>
      <w:r/>
    </w:p>
    <w:p>
      <w:pPr>
        <w:pStyle w:val="1161"/>
        <w:ind w:firstLine="0"/>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项目编号：  </w:t>
      </w:r>
      <w:r/>
    </w:p>
    <w:tbl>
      <w:tblPr>
        <w:tblStyle w:val="1157"/>
        <w:tblW w:w="0" w:type="auto"/>
        <w:tblCellSpacing w:w="15"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736"/>
        <w:gridCol w:w="2731"/>
        <w:gridCol w:w="4104"/>
      </w:tblGrid>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pStyle w:val="1161"/>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项目名称</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pStyle w:val="1161"/>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项目内容</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pStyle w:val="1161"/>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pStyle w:val="1161"/>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项目名称 </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pStyle w:val="1161"/>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详见响应文件</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pStyle w:val="1161"/>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pStyle w:val="1161"/>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总价（大写）：</w:t>
            </w:r>
            <w:r/>
          </w:p>
        </w:tc>
        <w:tc>
          <w:tcPr>
            <w:gridSpan w:val="2"/>
            <w:tcBorders>
              <w:top w:val="single" w:color="auto" w:sz="6" w:space="0"/>
              <w:left w:val="single" w:color="auto" w:sz="6" w:space="0"/>
              <w:bottom w:val="single" w:color="auto" w:sz="6" w:space="0"/>
              <w:right w:val="single" w:color="auto" w:sz="6" w:space="0"/>
            </w:tcBorders>
            <w:tcW w:w="8340" w:type="dxa"/>
            <w:vAlign w:val="center"/>
            <w:textDirection w:val="lrTb"/>
            <w:noWrap w:val="false"/>
          </w:tcPr>
          <w:p>
            <w:pPr>
              <w:pStyle w:val="1161"/>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金额大写 </w:t>
            </w:r>
            <w:r/>
          </w:p>
        </w:tc>
      </w:tr>
    </w:tbl>
    <w:p>
      <w:pPr>
        <w:pStyle w:val="1161"/>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报价说明：</w:t>
      </w:r>
      <w:r/>
    </w:p>
    <w:p>
      <w:pPr>
        <w:pStyle w:val="1161"/>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lang w:eastAsia="zh-CN"/>
        </w:rPr>
        <w:t xml:space="preserve">1.</w:t>
      </w:r>
      <w:r>
        <w:rPr>
          <w:rFonts w:cs="宋体" w:asciiTheme="minorEastAsia" w:hAnsiTheme="minorEastAsia" w:eastAsiaTheme="minorEastAsia"/>
          <w:color w:val="auto"/>
          <w:sz w:val="24"/>
          <w:szCs w:val="24"/>
          <w:highlight w:val="none"/>
        </w:rPr>
        <w:t xml:space="preserve">报价包括完成项目的所有费用。采购人不再支付报价以外的任何费用。</w:t>
      </w:r>
      <w:r/>
    </w:p>
    <w:p>
      <w:pPr>
        <w:pStyle w:val="1161"/>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lang w:eastAsia="zh-CN"/>
        </w:rPr>
        <w:t xml:space="preserve">2.</w:t>
      </w:r>
      <w:r>
        <w:rPr>
          <w:rFonts w:cs="宋体" w:asciiTheme="minorEastAsia" w:hAnsiTheme="minorEastAsia" w:eastAsiaTheme="minorEastAsia"/>
          <w:color w:val="auto"/>
          <w:sz w:val="24"/>
          <w:szCs w:val="24"/>
          <w:highlight w:val="none"/>
        </w:rPr>
        <w:t xml:space="preserve">报价以总价为准，大小写不一致以大写为准；</w:t>
      </w:r>
      <w:r/>
    </w:p>
    <w:p>
      <w:pPr>
        <w:pStyle w:val="1161"/>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lang w:eastAsia="zh-CN"/>
        </w:rPr>
        <w:t xml:space="preserve">3.</w:t>
      </w:r>
      <w:r>
        <w:rPr>
          <w:rFonts w:cs="宋体" w:asciiTheme="minorEastAsia" w:hAnsiTheme="minorEastAsia" w:eastAsiaTheme="minorEastAsia"/>
          <w:color w:val="auto"/>
          <w:sz w:val="24"/>
          <w:szCs w:val="24"/>
          <w:highlight w:val="none"/>
        </w:rPr>
        <w:t xml:space="preserve">偏离说明：详见《偏离表》；</w:t>
      </w:r>
      <w:r/>
    </w:p>
    <w:p>
      <w:pPr>
        <w:pStyle w:val="1161"/>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lang w:eastAsia="zh-CN"/>
        </w:rPr>
        <w:t xml:space="preserve">4.</w:t>
      </w:r>
      <w:r>
        <w:rPr>
          <w:rFonts w:cs="宋体" w:asciiTheme="minorEastAsia" w:hAnsiTheme="minorEastAsia" w:eastAsiaTheme="minorEastAsia"/>
          <w:color w:val="auto"/>
          <w:sz w:val="24"/>
          <w:szCs w:val="24"/>
          <w:highlight w:val="none"/>
        </w:rPr>
        <w:t xml:space="preserve">如最后报价未列明单价，则最后所报各项单价计算方法为：（最后报价/ 最初报价）* 各项最初报价的单价。</w:t>
      </w:r>
      <w:r/>
    </w:p>
    <w:p>
      <w:pPr>
        <w:pStyle w:val="1161"/>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供应商（电子签章）：</w:t>
      </w:r>
      <w:r/>
    </w:p>
    <w:p>
      <w:pPr>
        <w:pStyle w:val="1161"/>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 </w:t>
      </w:r>
      <w:r/>
    </w:p>
    <w:p>
      <w:pPr>
        <w:pStyle w:val="1161"/>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 </w:t>
      </w:r>
      <w:r/>
    </w:p>
    <w:p>
      <w:pPr>
        <w:pStyle w:val="1161"/>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日期：  年  月   日</w:t>
      </w:r>
      <w:r/>
    </w:p>
    <w:p>
      <w:pPr>
        <w:pStyle w:val="1161"/>
        <w:rPr>
          <w:color w:val="auto"/>
          <w:highlight w:val="none"/>
        </w:rPr>
      </w:pPr>
      <w:r>
        <w:rPr>
          <w:color w:val="auto"/>
          <w:highlight w:val="none"/>
        </w:rPr>
      </w:r>
      <w:r/>
    </w:p>
    <w:p>
      <w:pPr>
        <w:ind w:firstLine="3373"/>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r>
      <w:r/>
    </w:p>
    <w:p>
      <w:pPr>
        <w:ind w:firstLine="3373"/>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r>
      <w:r/>
    </w:p>
    <w:p>
      <w:pPr>
        <w:ind w:firstLine="3373"/>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r>
      <w:r/>
    </w:p>
    <w:p>
      <w:pPr>
        <w:ind w:firstLine="3373"/>
        <w:rPr>
          <w:rFonts w:hint="eastAsia" w:ascii="宋体" w:hAnsi="宋体" w:cs="宋体"/>
          <w:b/>
          <w:bCs/>
          <w:color w:val="auto"/>
          <w:sz w:val="28"/>
          <w:szCs w:val="28"/>
          <w:highlight w:val="none"/>
          <w:lang w:val="en-US" w:eastAsia="zh-CN"/>
        </w:rPr>
      </w:pPr>
      <w:r>
        <w:rPr>
          <w:rFonts w:hint="eastAsia" w:ascii="宋体" w:hAnsi="宋体" w:cs="宋体"/>
          <w:b/>
          <w:color w:val="auto"/>
          <w:sz w:val="28"/>
          <w:szCs w:val="28"/>
          <w:highlight w:val="none"/>
          <w:lang w:val="en-US" w:eastAsia="zh-CN"/>
        </w:rPr>
      </w:r>
      <w:r>
        <w:rPr>
          <w:rFonts w:hint="eastAsia" w:ascii="宋体" w:hAnsi="宋体" w:cs="宋体"/>
          <w:b/>
          <w:color w:val="auto"/>
          <w:sz w:val="28"/>
          <w:szCs w:val="28"/>
          <w:highlight w:val="none"/>
          <w:lang w:val="en-US" w:eastAsia="zh-CN"/>
        </w:rPr>
      </w:r>
      <w:r/>
    </w:p>
    <w:p>
      <w:pPr>
        <w:ind w:firstLine="3373"/>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r>
      <w:r>
        <w:rPr>
          <w:rFonts w:hint="eastAsia" w:ascii="宋体" w:hAnsi="宋体" w:cs="宋体"/>
          <w:b/>
          <w:bCs/>
          <w:color w:val="auto"/>
          <w:sz w:val="28"/>
          <w:szCs w:val="28"/>
          <w:highlight w:val="none"/>
          <w:lang w:val="en-US" w:eastAsia="zh-CN"/>
        </w:rPr>
      </w:r>
      <w:r/>
    </w:p>
    <w:p>
      <w:pPr>
        <w:ind w:firstLine="3373"/>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r>
      <w:r>
        <w:rPr>
          <w:rFonts w:hint="eastAsia" w:ascii="宋体" w:hAnsi="宋体" w:cs="宋体"/>
          <w:b/>
          <w:bCs/>
          <w:color w:val="auto"/>
          <w:sz w:val="28"/>
          <w:szCs w:val="28"/>
          <w:highlight w:val="none"/>
          <w:lang w:val="en-US" w:eastAsia="zh-CN"/>
        </w:rPr>
      </w:r>
      <w:r/>
    </w:p>
    <w:p>
      <w:pPr>
        <w:ind w:firstLine="3373"/>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r>
      <w:r>
        <w:rPr>
          <w:rFonts w:hint="eastAsia" w:ascii="宋体" w:hAnsi="宋体" w:cs="宋体"/>
          <w:b/>
          <w:bCs/>
          <w:color w:val="auto"/>
          <w:sz w:val="28"/>
          <w:szCs w:val="28"/>
          <w:highlight w:val="none"/>
          <w:lang w:val="en-US" w:eastAsia="zh-CN"/>
        </w:rPr>
      </w:r>
      <w:r/>
    </w:p>
    <w:p>
      <w:pPr>
        <w:ind w:firstLine="3373"/>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r>
      <w:r>
        <w:rPr>
          <w:rFonts w:hint="eastAsia" w:ascii="宋体" w:hAnsi="宋体" w:cs="宋体"/>
          <w:b/>
          <w:bCs/>
          <w:color w:val="auto"/>
          <w:sz w:val="28"/>
          <w:szCs w:val="28"/>
          <w:highlight w:val="none"/>
          <w:lang w:val="en-US" w:eastAsia="zh-CN"/>
        </w:rPr>
      </w:r>
      <w:r/>
    </w:p>
    <w:p>
      <w:pPr>
        <w:ind w:firstLine="3373"/>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r>
      <w:r>
        <w:rPr>
          <w:rFonts w:hint="eastAsia" w:ascii="宋体" w:hAnsi="宋体" w:cs="宋体"/>
          <w:b/>
          <w:bCs/>
          <w:color w:val="auto"/>
          <w:sz w:val="28"/>
          <w:szCs w:val="28"/>
          <w:highlight w:val="none"/>
          <w:lang w:val="en-US" w:eastAsia="zh-CN"/>
        </w:rPr>
      </w:r>
      <w:r/>
    </w:p>
    <w:p>
      <w:pPr>
        <w:ind w:firstLine="3373"/>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r>
      <w:r>
        <w:rPr>
          <w:rFonts w:hint="eastAsia" w:ascii="宋体" w:hAnsi="宋体" w:cs="宋体"/>
          <w:b/>
          <w:bCs/>
          <w:color w:val="auto"/>
          <w:sz w:val="28"/>
          <w:szCs w:val="28"/>
          <w:highlight w:val="none"/>
          <w:lang w:val="en-US" w:eastAsia="zh-CN"/>
        </w:rPr>
      </w:r>
      <w:r/>
    </w:p>
    <w:p>
      <w:pPr>
        <w:ind w:firstLine="3373"/>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r>
      <w:r>
        <w:rPr>
          <w:rFonts w:hint="eastAsia" w:ascii="宋体" w:hAnsi="宋体" w:cs="宋体"/>
          <w:b/>
          <w:bCs/>
          <w:color w:val="auto"/>
          <w:sz w:val="28"/>
          <w:szCs w:val="28"/>
          <w:highlight w:val="none"/>
          <w:lang w:val="en-US" w:eastAsia="zh-CN"/>
        </w:rPr>
      </w:r>
      <w:r/>
    </w:p>
    <w:p>
      <w:pPr>
        <w:ind w:firstLine="3373"/>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r>
      <w:r>
        <w:rPr>
          <w:rFonts w:hint="eastAsia" w:ascii="宋体" w:hAnsi="宋体" w:cs="宋体"/>
          <w:b/>
          <w:bCs/>
          <w:color w:val="auto"/>
          <w:sz w:val="28"/>
          <w:szCs w:val="28"/>
          <w:highlight w:val="none"/>
          <w:lang w:val="en-US" w:eastAsia="zh-CN"/>
        </w:rPr>
      </w:r>
      <w:r/>
    </w:p>
    <w:p>
      <w:pPr>
        <w:ind w:firstLine="3373"/>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r>
      <w:r>
        <w:rPr>
          <w:rFonts w:hint="eastAsia" w:ascii="宋体" w:hAnsi="宋体" w:cs="宋体"/>
          <w:b/>
          <w:bCs/>
          <w:color w:val="auto"/>
          <w:sz w:val="28"/>
          <w:szCs w:val="28"/>
          <w:highlight w:val="none"/>
          <w:lang w:val="en-US" w:eastAsia="zh-CN"/>
        </w:rPr>
      </w:r>
      <w:r/>
    </w:p>
    <w:p>
      <w:pPr>
        <w:ind w:firstLine="3373"/>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r>
      <w:r>
        <w:rPr>
          <w:rFonts w:hint="eastAsia" w:ascii="宋体" w:hAnsi="宋体" w:cs="宋体"/>
          <w:b/>
          <w:bCs/>
          <w:color w:val="auto"/>
          <w:sz w:val="28"/>
          <w:szCs w:val="28"/>
          <w:highlight w:val="none"/>
          <w:lang w:val="en-US" w:eastAsia="zh-CN"/>
        </w:rPr>
      </w:r>
      <w:r/>
    </w:p>
    <w:p>
      <w:pPr>
        <w:ind w:firstLine="3373"/>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r>
      <w:r>
        <w:rPr>
          <w:rFonts w:hint="eastAsia" w:ascii="宋体" w:hAnsi="宋体" w:cs="宋体"/>
          <w:b/>
          <w:bCs/>
          <w:color w:val="auto"/>
          <w:sz w:val="28"/>
          <w:szCs w:val="28"/>
          <w:highlight w:val="none"/>
          <w:lang w:val="en-US" w:eastAsia="zh-CN"/>
        </w:rPr>
      </w:r>
      <w:r/>
    </w:p>
    <w:p>
      <w:pPr>
        <w:ind w:firstLine="3373"/>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r>
      <w:r>
        <w:rPr>
          <w:rFonts w:hint="eastAsia" w:ascii="宋体" w:hAnsi="宋体" w:cs="宋体"/>
          <w:b/>
          <w:bCs/>
          <w:color w:val="auto"/>
          <w:sz w:val="28"/>
          <w:szCs w:val="28"/>
          <w:highlight w:val="none"/>
          <w:lang w:val="en-US" w:eastAsia="zh-CN"/>
        </w:rPr>
      </w:r>
      <w:r/>
    </w:p>
    <w:p>
      <w:pPr>
        <w:ind w:firstLine="3373"/>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r>
      <w:r>
        <w:rPr>
          <w:rFonts w:hint="eastAsia" w:ascii="宋体" w:hAnsi="宋体" w:cs="宋体"/>
          <w:b/>
          <w:bCs/>
          <w:color w:val="auto"/>
          <w:sz w:val="28"/>
          <w:szCs w:val="28"/>
          <w:highlight w:val="none"/>
          <w:lang w:val="en-US" w:eastAsia="zh-CN"/>
        </w:rPr>
      </w:r>
      <w:r/>
    </w:p>
    <w:p>
      <w:pPr>
        <w:ind w:firstLine="3373"/>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r>
      <w:r>
        <w:rPr>
          <w:rFonts w:hint="eastAsia" w:ascii="宋体" w:hAnsi="宋体" w:cs="宋体"/>
          <w:b/>
          <w:bCs/>
          <w:color w:val="auto"/>
          <w:sz w:val="28"/>
          <w:szCs w:val="28"/>
          <w:highlight w:val="none"/>
          <w:lang w:val="en-US" w:eastAsia="zh-CN"/>
        </w:rPr>
      </w:r>
      <w:r/>
    </w:p>
    <w:p>
      <w:pPr>
        <w:ind w:firstLine="3373"/>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r>
      <w:r>
        <w:rPr>
          <w:rFonts w:hint="eastAsia" w:ascii="宋体" w:hAnsi="宋体" w:cs="宋体"/>
          <w:b/>
          <w:bCs/>
          <w:color w:val="auto"/>
          <w:sz w:val="28"/>
          <w:szCs w:val="28"/>
          <w:highlight w:val="none"/>
          <w:lang w:val="en-US" w:eastAsia="zh-CN"/>
        </w:rPr>
      </w:r>
      <w:r/>
    </w:p>
    <w:p>
      <w:pPr>
        <w:ind w:firstLine="3373"/>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r>
      <w:r>
        <w:rPr>
          <w:rFonts w:hint="eastAsia" w:ascii="宋体" w:hAnsi="宋体" w:cs="宋体"/>
          <w:b/>
          <w:bCs/>
          <w:color w:val="auto"/>
          <w:sz w:val="28"/>
          <w:szCs w:val="28"/>
          <w:highlight w:val="none"/>
          <w:lang w:val="en-US" w:eastAsia="zh-CN"/>
        </w:rPr>
      </w:r>
      <w:r/>
    </w:p>
    <w:p>
      <w:pPr>
        <w:ind w:firstLine="3373"/>
        <w:rPr>
          <w:rFonts w:hint="eastAsia" w:ascii="宋体" w:hAnsi="宋体" w:cs="宋体"/>
          <w:b/>
          <w:bCs/>
          <w:color w:val="auto"/>
          <w:sz w:val="28"/>
          <w:szCs w:val="28"/>
          <w:highlight w:val="none"/>
          <w:lang w:val="en-US" w:eastAsia="zh-CN"/>
        </w:rPr>
      </w:pPr>
      <w:r>
        <w:rPr>
          <w:rFonts w:hint="eastAsia" w:ascii="宋体" w:hAnsi="宋体" w:cs="宋体"/>
          <w:b/>
          <w:color w:val="auto"/>
          <w:sz w:val="28"/>
          <w:szCs w:val="28"/>
          <w:highlight w:val="none"/>
          <w:lang w:val="en-US" w:eastAsia="zh-CN"/>
        </w:rPr>
      </w:r>
      <w:r/>
    </w:p>
    <w:p>
      <w:pPr>
        <w:ind w:firstLine="3373"/>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r>
      <w:r/>
    </w:p>
    <w:p>
      <w:pPr>
        <w:ind w:firstLine="3373"/>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r>
      <w:r/>
    </w:p>
    <w:p>
      <w:pPr>
        <w:ind w:firstLine="3373"/>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分项报价表</w:t>
      </w:r>
      <w:r/>
    </w:p>
    <w:tbl>
      <w:tblPr>
        <w:tblStyle w:val="1157"/>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576"/>
        <w:gridCol w:w="1096"/>
        <w:gridCol w:w="3253"/>
        <w:gridCol w:w="553"/>
        <w:gridCol w:w="482"/>
        <w:gridCol w:w="936"/>
        <w:gridCol w:w="936"/>
        <w:gridCol w:w="936"/>
        <w:gridCol w:w="893"/>
      </w:tblGrid>
      <w:tr>
        <w:trPr>
          <w:trHeight w:val="285"/>
        </w:trPr>
        <w:tc>
          <w:tcPr>
            <w:tcBorders>
              <w:top w:val="single" w:color="auto" w:sz="8" w:space="0"/>
              <w:left w:val="single" w:color="auto" w:sz="8" w:space="0"/>
              <w:bottom w:val="single" w:color="auto" w:sz="8" w:space="0"/>
              <w:right w:val="single" w:color="auto" w:sz="8" w:space="0"/>
            </w:tcBorders>
            <w:tcW w:w="297"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序号</w:t>
            </w:r>
            <w:r/>
          </w:p>
        </w:tc>
        <w:tc>
          <w:tcPr>
            <w:tcBorders>
              <w:top w:val="single" w:color="auto" w:sz="8" w:space="0"/>
              <w:left w:val="none" w:color="000000" w:sz="4" w:space="0"/>
              <w:bottom w:val="single" w:color="auto" w:sz="8" w:space="0"/>
              <w:right w:val="single" w:color="auto" w:sz="8" w:space="0"/>
            </w:tcBorders>
            <w:tcW w:w="575"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项目名称</w:t>
            </w:r>
            <w:r/>
          </w:p>
        </w:tc>
        <w:tc>
          <w:tcPr>
            <w:tcBorders>
              <w:top w:val="single" w:color="auto" w:sz="8" w:space="0"/>
              <w:left w:val="none" w:color="000000" w:sz="4" w:space="0"/>
              <w:bottom w:val="single" w:color="auto" w:sz="8" w:space="0"/>
              <w:right w:val="single" w:color="auto" w:sz="8" w:space="0"/>
            </w:tcBorders>
            <w:tcW w:w="1691"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主要技术指标</w:t>
            </w:r>
            <w:r/>
          </w:p>
        </w:tc>
        <w:tc>
          <w:tcPr>
            <w:tcBorders>
              <w:top w:val="single" w:color="auto" w:sz="8" w:space="0"/>
              <w:left w:val="none" w:color="000000" w:sz="4" w:space="0"/>
              <w:bottom w:val="single" w:color="auto" w:sz="8" w:space="0"/>
              <w:right w:val="single" w:color="auto" w:sz="8" w:space="0"/>
            </w:tcBorders>
            <w:tcW w:w="294"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单位</w:t>
            </w:r>
            <w:r/>
          </w:p>
        </w:tc>
        <w:tc>
          <w:tcPr>
            <w:tcBorders>
              <w:top w:val="single" w:color="auto" w:sz="8" w:space="0"/>
              <w:left w:val="none" w:color="000000" w:sz="4" w:space="0"/>
              <w:bottom w:val="single" w:color="auto" w:sz="8" w:space="0"/>
              <w:right w:val="single" w:color="auto" w:sz="8" w:space="0"/>
            </w:tcBorders>
            <w:tcW w:w="257"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数量</w:t>
            </w:r>
            <w:r/>
          </w:p>
        </w:tc>
        <w:tc>
          <w:tcPr>
            <w:tcBorders>
              <w:top w:val="single" w:color="auto" w:sz="8" w:space="0"/>
              <w:left w:val="none" w:color="000000" w:sz="4" w:space="0"/>
              <w:bottom w:val="single" w:color="auto" w:sz="8" w:space="0"/>
              <w:right w:val="single" w:color="auto" w:sz="8" w:space="0"/>
            </w:tcBorders>
            <w:tcW w:w="476"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最高限价单价（元）</w:t>
            </w:r>
            <w:r/>
          </w:p>
        </w:tc>
        <w:tc>
          <w:tcPr>
            <w:tcBorders>
              <w:top w:val="single" w:color="auto" w:sz="8" w:space="0"/>
              <w:left w:val="none" w:color="000000" w:sz="4" w:space="0"/>
              <w:bottom w:val="single" w:color="auto" w:sz="8" w:space="0"/>
              <w:right w:val="single" w:color="auto" w:sz="8" w:space="0"/>
            </w:tcBorders>
            <w:tcW w:w="466" w:type="pct"/>
            <w:vAlign w:val="center"/>
            <w:textDirection w:val="lrTb"/>
            <w:noWrap w:val="false"/>
          </w:tcPr>
          <w:p>
            <w:pPr>
              <w:jc w:val="center"/>
              <w:keepLines w:val="0"/>
              <w:keepNext w:val="0"/>
              <w:pageBreakBefore w:val="0"/>
              <w:spacing w:before="120" w:after="120" w:line="400" w:lineRule="atLeast"/>
              <w:widowControl w:val="off"/>
              <w:rPr>
                <w:rFonts w:hint="default"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投标单价（元）</w:t>
            </w:r>
            <w:r/>
          </w:p>
        </w:tc>
        <w:tc>
          <w:tcPr>
            <w:tcBorders>
              <w:top w:val="single" w:color="auto" w:sz="8" w:space="0"/>
              <w:left w:val="none" w:color="000000" w:sz="4" w:space="0"/>
              <w:bottom w:val="single" w:color="auto" w:sz="8" w:space="0"/>
              <w:right w:val="single" w:color="auto" w:sz="8" w:space="0"/>
            </w:tcBorders>
            <w:tcW w:w="470" w:type="pct"/>
            <w:vAlign w:val="center"/>
            <w:textDirection w:val="lrTb"/>
            <w:noWrap w:val="false"/>
          </w:tcPr>
          <w:p>
            <w:pPr>
              <w:jc w:val="center"/>
              <w:keepLines w:val="0"/>
              <w:keepNext w:val="0"/>
              <w:pageBreakBefore w:val="0"/>
              <w:spacing w:before="120" w:after="120" w:line="400" w:lineRule="atLeast"/>
              <w:widowControl w:val="off"/>
              <w:rPr>
                <w:rFonts w:hint="default"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合计（元）</w:t>
            </w:r>
            <w:r/>
          </w:p>
        </w:tc>
        <w:tc>
          <w:tcPr>
            <w:tcBorders>
              <w:top w:val="single" w:color="auto" w:sz="8" w:space="0"/>
              <w:left w:val="none" w:color="000000" w:sz="4" w:space="0"/>
              <w:bottom w:val="single" w:color="auto" w:sz="8" w:space="0"/>
              <w:right w:val="single" w:color="auto" w:sz="8" w:space="0"/>
            </w:tcBorders>
            <w:tcW w:w="470"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备注</w:t>
            </w:r>
            <w:r/>
          </w:p>
        </w:tc>
      </w:tr>
      <w:tr>
        <w:trPr>
          <w:trHeight w:val="285"/>
        </w:trPr>
        <w:tc>
          <w:tcPr>
            <w:shd w:val="clear" w:color="000000" w:fill="bfbfbf"/>
            <w:tcBorders>
              <w:top w:val="none" w:color="000000" w:sz="4" w:space="0"/>
              <w:left w:val="single" w:color="auto" w:sz="8" w:space="0"/>
              <w:bottom w:val="single" w:color="auto" w:sz="8" w:space="0"/>
              <w:right w:val="single" w:color="auto" w:sz="8" w:space="0"/>
            </w:tcBorders>
            <w:tcW w:w="297"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w:t>
            </w:r>
            <w:r/>
          </w:p>
        </w:tc>
        <w:tc>
          <w:tcPr>
            <w:gridSpan w:val="7"/>
            <w:shd w:val="clear" w:color="000000" w:fill="bfbfbf"/>
            <w:tcBorders>
              <w:top w:val="none" w:color="000000" w:sz="4" w:space="0"/>
              <w:left w:val="none" w:color="000000" w:sz="4" w:space="0"/>
              <w:bottom w:val="single" w:color="auto" w:sz="8" w:space="0"/>
              <w:right w:val="single" w:color="auto" w:sz="8" w:space="0"/>
            </w:tcBorders>
            <w:tcW w:w="4232"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交警支队机房维保　</w:t>
            </w:r>
            <w:r/>
          </w:p>
        </w:tc>
        <w:tc>
          <w:tcPr>
            <w:shd w:val="clear" w:color="000000" w:fill="bfbfbf"/>
            <w:tcBorders>
              <w:top w:val="none" w:color="000000" w:sz="4" w:space="0"/>
              <w:left w:val="none" w:color="000000" w:sz="4" w:space="0"/>
              <w:bottom w:val="single" w:color="auto" w:sz="8" w:space="0"/>
              <w:right w:val="single" w:color="auto" w:sz="8" w:space="0"/>
            </w:tcBorders>
            <w:tcW w:w="470"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r>
      <w:tr>
        <w:trPr>
          <w:trHeight w:val="1680"/>
        </w:trPr>
        <w:tc>
          <w:tcPr>
            <w:tcBorders>
              <w:top w:val="none" w:color="000000" w:sz="4" w:space="0"/>
              <w:left w:val="single" w:color="auto" w:sz="8" w:space="0"/>
              <w:bottom w:val="single" w:color="auto" w:sz="8" w:space="0"/>
              <w:right w:val="single" w:color="auto" w:sz="8" w:space="0"/>
            </w:tcBorders>
            <w:tcW w:w="297"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1.1</w:t>
            </w:r>
            <w:r/>
          </w:p>
        </w:tc>
        <w:tc>
          <w:tcPr>
            <w:tcBorders>
              <w:top w:val="none" w:color="000000" w:sz="4" w:space="0"/>
              <w:left w:val="none" w:color="000000" w:sz="4" w:space="0"/>
              <w:bottom w:val="single" w:color="auto" w:sz="8" w:space="0"/>
              <w:right w:val="single" w:color="auto" w:sz="8" w:space="0"/>
            </w:tcBorders>
            <w:tcW w:w="575"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机房消控系统延保</w:t>
            </w:r>
            <w:r/>
          </w:p>
        </w:tc>
        <w:tc>
          <w:tcPr>
            <w:tcBorders>
              <w:top w:val="none" w:color="000000" w:sz="4" w:space="0"/>
              <w:left w:val="none" w:color="000000" w:sz="4" w:space="0"/>
              <w:bottom w:val="single" w:color="auto" w:sz="8" w:space="0"/>
              <w:right w:val="single" w:color="auto" w:sz="8" w:space="0"/>
            </w:tcBorders>
            <w:tcW w:w="1691"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对机房内消防控制系统设备的产品延保、设备维修及配件更换、专业技术支持等服务。保障设备正常运行，对设备故障进行诊断分析，并提交诊断报告。更换6瓶过期的七氟丙烷，每瓶120L。（火灾报警系统、气体灭火系统等，6瓶七氟丙烷、120L）</w:t>
            </w:r>
            <w:r/>
          </w:p>
        </w:tc>
        <w:tc>
          <w:tcPr>
            <w:tcBorders>
              <w:top w:val="none" w:color="000000" w:sz="4" w:space="0"/>
              <w:left w:val="none" w:color="000000" w:sz="4" w:space="0"/>
              <w:bottom w:val="single" w:color="auto" w:sz="8" w:space="0"/>
              <w:right w:val="single" w:color="auto" w:sz="8" w:space="0"/>
            </w:tcBorders>
            <w:tcW w:w="294"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套</w:t>
            </w:r>
            <w:r/>
          </w:p>
        </w:tc>
        <w:tc>
          <w:tcPr>
            <w:tcBorders>
              <w:top w:val="none" w:color="000000" w:sz="4" w:space="0"/>
              <w:left w:val="none" w:color="000000" w:sz="4" w:space="0"/>
              <w:bottom w:val="single" w:color="auto" w:sz="8" w:space="0"/>
              <w:right w:val="single" w:color="auto" w:sz="8" w:space="0"/>
            </w:tcBorders>
            <w:tcW w:w="257"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w:t>
            </w:r>
            <w:r/>
          </w:p>
        </w:tc>
        <w:tc>
          <w:tcPr>
            <w:tcBorders>
              <w:top w:val="none" w:color="000000" w:sz="4" w:space="0"/>
              <w:left w:val="none" w:color="000000" w:sz="4" w:space="0"/>
              <w:bottom w:val="single" w:color="auto" w:sz="8" w:space="0"/>
              <w:right w:val="single" w:color="auto" w:sz="8" w:space="0"/>
            </w:tcBorders>
            <w:tcW w:w="476"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120000</w:t>
            </w:r>
            <w:r/>
          </w:p>
        </w:tc>
        <w:tc>
          <w:tcPr>
            <w:tcBorders>
              <w:top w:val="none" w:color="000000" w:sz="4" w:space="0"/>
              <w:left w:val="none" w:color="000000" w:sz="4" w:space="0"/>
              <w:bottom w:val="single" w:color="auto" w:sz="8" w:space="0"/>
              <w:right w:val="single" w:color="auto" w:sz="8" w:space="0"/>
            </w:tcBorders>
            <w:tcW w:w="466"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　</w:t>
            </w:r>
            <w:r/>
          </w:p>
        </w:tc>
        <w:tc>
          <w:tcPr>
            <w:tcBorders>
              <w:top w:val="none" w:color="000000" w:sz="4" w:space="0"/>
              <w:left w:val="none" w:color="000000" w:sz="4" w:space="0"/>
              <w:bottom w:val="single" w:color="auto" w:sz="8" w:space="0"/>
              <w:right w:val="single" w:color="auto" w:sz="8" w:space="0"/>
            </w:tcBorders>
            <w:tcW w:w="470"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c>
          <w:tcPr>
            <w:tcBorders>
              <w:top w:val="none" w:color="000000" w:sz="4" w:space="0"/>
              <w:left w:val="none" w:color="000000" w:sz="4" w:space="0"/>
              <w:bottom w:val="single" w:color="auto" w:sz="8" w:space="0"/>
              <w:right w:val="single" w:color="auto" w:sz="8" w:space="0"/>
            </w:tcBorders>
            <w:tcW w:w="470"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r>
      <w:tr>
        <w:trPr>
          <w:trHeight w:val="853"/>
        </w:trPr>
        <w:tc>
          <w:tcPr>
            <w:tcBorders>
              <w:top w:val="none" w:color="000000" w:sz="4" w:space="0"/>
              <w:left w:val="single" w:color="auto" w:sz="8" w:space="0"/>
              <w:bottom w:val="single" w:color="auto" w:sz="8" w:space="0"/>
              <w:right w:val="single" w:color="auto" w:sz="8" w:space="0"/>
            </w:tcBorders>
            <w:tcW w:w="297"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1.2</w:t>
            </w:r>
            <w:r/>
          </w:p>
        </w:tc>
        <w:tc>
          <w:tcPr>
            <w:tcBorders>
              <w:top w:val="none" w:color="000000" w:sz="4" w:space="0"/>
              <w:left w:val="none" w:color="000000" w:sz="4" w:space="0"/>
              <w:bottom w:val="single" w:color="auto" w:sz="8" w:space="0"/>
              <w:right w:val="single" w:color="auto" w:sz="8" w:space="0"/>
            </w:tcBorders>
            <w:tcW w:w="575"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机房精密空调系统延保</w:t>
            </w:r>
            <w:r/>
          </w:p>
        </w:tc>
        <w:tc>
          <w:tcPr>
            <w:tcBorders>
              <w:top w:val="none" w:color="000000" w:sz="4" w:space="0"/>
              <w:left w:val="none" w:color="000000" w:sz="4" w:space="0"/>
              <w:bottom w:val="single" w:color="auto" w:sz="8" w:space="0"/>
              <w:right w:val="single" w:color="auto" w:sz="8" w:space="0"/>
            </w:tcBorders>
            <w:tcW w:w="1691"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对机房内精密空调系统设备的产品延保、设备维修及配件更换、专业技术支持等服务。保障设备正常运行，对设备故障进行诊断分析，并提交诊断报告。（精密空调系统，2套水冷机组含水路）</w:t>
            </w:r>
            <w:r/>
          </w:p>
        </w:tc>
        <w:tc>
          <w:tcPr>
            <w:tcBorders>
              <w:top w:val="none" w:color="000000" w:sz="4" w:space="0"/>
              <w:left w:val="none" w:color="000000" w:sz="4" w:space="0"/>
              <w:bottom w:val="single" w:color="auto" w:sz="8" w:space="0"/>
              <w:right w:val="single" w:color="auto" w:sz="8" w:space="0"/>
            </w:tcBorders>
            <w:tcW w:w="294"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套</w:t>
            </w:r>
            <w:r/>
          </w:p>
        </w:tc>
        <w:tc>
          <w:tcPr>
            <w:tcBorders>
              <w:top w:val="none" w:color="000000" w:sz="4" w:space="0"/>
              <w:left w:val="none" w:color="000000" w:sz="4" w:space="0"/>
              <w:bottom w:val="single" w:color="auto" w:sz="8" w:space="0"/>
              <w:right w:val="single" w:color="auto" w:sz="8" w:space="0"/>
            </w:tcBorders>
            <w:tcW w:w="257"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w:t>
            </w:r>
            <w:r/>
          </w:p>
        </w:tc>
        <w:tc>
          <w:tcPr>
            <w:tcBorders>
              <w:top w:val="none" w:color="000000" w:sz="4" w:space="0"/>
              <w:left w:val="none" w:color="000000" w:sz="4" w:space="0"/>
              <w:bottom w:val="single" w:color="auto" w:sz="8" w:space="0"/>
              <w:right w:val="single" w:color="auto" w:sz="8" w:space="0"/>
            </w:tcBorders>
            <w:tcW w:w="476"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100000</w:t>
            </w:r>
            <w:r/>
          </w:p>
        </w:tc>
        <w:tc>
          <w:tcPr>
            <w:tcBorders>
              <w:top w:val="none" w:color="000000" w:sz="4" w:space="0"/>
              <w:left w:val="none" w:color="000000" w:sz="4" w:space="0"/>
              <w:bottom w:val="single" w:color="auto" w:sz="8" w:space="0"/>
              <w:right w:val="single" w:color="auto" w:sz="8" w:space="0"/>
            </w:tcBorders>
            <w:tcW w:w="466"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　</w:t>
            </w:r>
            <w:r/>
          </w:p>
        </w:tc>
        <w:tc>
          <w:tcPr>
            <w:tcBorders>
              <w:top w:val="none" w:color="000000" w:sz="4" w:space="0"/>
              <w:left w:val="none" w:color="000000" w:sz="4" w:space="0"/>
              <w:bottom w:val="single" w:color="auto" w:sz="8" w:space="0"/>
              <w:right w:val="single" w:color="auto" w:sz="8" w:space="0"/>
            </w:tcBorders>
            <w:tcW w:w="470"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c>
          <w:tcPr>
            <w:tcBorders>
              <w:top w:val="none" w:color="000000" w:sz="4" w:space="0"/>
              <w:left w:val="none" w:color="000000" w:sz="4" w:space="0"/>
              <w:bottom w:val="single" w:color="auto" w:sz="8" w:space="0"/>
              <w:right w:val="single" w:color="auto" w:sz="8" w:space="0"/>
            </w:tcBorders>
            <w:tcW w:w="470"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r>
      <w:tr>
        <w:trPr>
          <w:trHeight w:val="1440"/>
        </w:trPr>
        <w:tc>
          <w:tcPr>
            <w:tcBorders>
              <w:top w:val="none" w:color="000000" w:sz="4" w:space="0"/>
              <w:left w:val="single" w:color="auto" w:sz="8" w:space="0"/>
              <w:bottom w:val="single" w:color="auto" w:sz="8" w:space="0"/>
              <w:right w:val="single" w:color="auto" w:sz="8" w:space="0"/>
            </w:tcBorders>
            <w:tcW w:w="297"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1.3</w:t>
            </w:r>
            <w:r/>
          </w:p>
        </w:tc>
        <w:tc>
          <w:tcPr>
            <w:tcBorders>
              <w:top w:val="none" w:color="000000" w:sz="4" w:space="0"/>
              <w:left w:val="none" w:color="000000" w:sz="4" w:space="0"/>
              <w:bottom w:val="single" w:color="auto" w:sz="8" w:space="0"/>
              <w:right w:val="single" w:color="auto" w:sz="8" w:space="0"/>
            </w:tcBorders>
            <w:tcW w:w="575"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机房UPS配电系统延保</w:t>
            </w:r>
            <w:r/>
          </w:p>
        </w:tc>
        <w:tc>
          <w:tcPr>
            <w:tcBorders>
              <w:top w:val="none" w:color="000000" w:sz="4" w:space="0"/>
              <w:left w:val="none" w:color="000000" w:sz="4" w:space="0"/>
              <w:bottom w:val="single" w:color="auto" w:sz="8" w:space="0"/>
              <w:right w:val="single" w:color="auto" w:sz="8" w:space="0"/>
            </w:tcBorders>
            <w:tcW w:w="1691"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对机房内UPS配电系统设备的产品延保、设备维修及配件更换、专业技术支持等服务。保障设备正常运行，对设备故障进行诊断分析，并提交诊断报告。（2套施耐德150KW的UPS主机，2组电视柜、92块电池）</w:t>
            </w:r>
            <w:r/>
          </w:p>
        </w:tc>
        <w:tc>
          <w:tcPr>
            <w:tcBorders>
              <w:top w:val="none" w:color="000000" w:sz="4" w:space="0"/>
              <w:left w:val="none" w:color="000000" w:sz="4" w:space="0"/>
              <w:bottom w:val="single" w:color="auto" w:sz="8" w:space="0"/>
              <w:right w:val="single" w:color="auto" w:sz="8" w:space="0"/>
            </w:tcBorders>
            <w:tcW w:w="294"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套</w:t>
            </w:r>
            <w:r/>
          </w:p>
        </w:tc>
        <w:tc>
          <w:tcPr>
            <w:tcBorders>
              <w:top w:val="none" w:color="000000" w:sz="4" w:space="0"/>
              <w:left w:val="none" w:color="000000" w:sz="4" w:space="0"/>
              <w:bottom w:val="single" w:color="auto" w:sz="8" w:space="0"/>
              <w:right w:val="single" w:color="auto" w:sz="8" w:space="0"/>
            </w:tcBorders>
            <w:tcW w:w="257"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w:t>
            </w:r>
            <w:r/>
          </w:p>
        </w:tc>
        <w:tc>
          <w:tcPr>
            <w:tcBorders>
              <w:top w:val="none" w:color="000000" w:sz="4" w:space="0"/>
              <w:left w:val="none" w:color="000000" w:sz="4" w:space="0"/>
              <w:bottom w:val="single" w:color="auto" w:sz="8" w:space="0"/>
              <w:right w:val="single" w:color="auto" w:sz="8" w:space="0"/>
            </w:tcBorders>
            <w:tcW w:w="476"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50000</w:t>
            </w:r>
            <w:r/>
          </w:p>
        </w:tc>
        <w:tc>
          <w:tcPr>
            <w:tcBorders>
              <w:top w:val="none" w:color="000000" w:sz="4" w:space="0"/>
              <w:left w:val="none" w:color="000000" w:sz="4" w:space="0"/>
              <w:bottom w:val="single" w:color="auto" w:sz="8" w:space="0"/>
              <w:right w:val="single" w:color="auto" w:sz="8" w:space="0"/>
            </w:tcBorders>
            <w:tcW w:w="466"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　</w:t>
            </w:r>
            <w:r/>
          </w:p>
        </w:tc>
        <w:tc>
          <w:tcPr>
            <w:tcBorders>
              <w:top w:val="none" w:color="000000" w:sz="4" w:space="0"/>
              <w:left w:val="none" w:color="000000" w:sz="4" w:space="0"/>
              <w:bottom w:val="single" w:color="auto" w:sz="8" w:space="0"/>
              <w:right w:val="single" w:color="auto" w:sz="8" w:space="0"/>
            </w:tcBorders>
            <w:tcW w:w="470"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c>
          <w:tcPr>
            <w:tcBorders>
              <w:top w:val="none" w:color="000000" w:sz="4" w:space="0"/>
              <w:left w:val="none" w:color="000000" w:sz="4" w:space="0"/>
              <w:bottom w:val="single" w:color="auto" w:sz="8" w:space="0"/>
              <w:right w:val="single" w:color="auto" w:sz="8" w:space="0"/>
            </w:tcBorders>
            <w:tcW w:w="470"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r>
      <w:tr>
        <w:trPr>
          <w:trHeight w:val="1920"/>
        </w:trPr>
        <w:tc>
          <w:tcPr>
            <w:tcBorders>
              <w:top w:val="none" w:color="000000" w:sz="4" w:space="0"/>
              <w:left w:val="single" w:color="auto" w:sz="8" w:space="0"/>
              <w:bottom w:val="single" w:color="auto" w:sz="8" w:space="0"/>
              <w:right w:val="single" w:color="auto" w:sz="8" w:space="0"/>
            </w:tcBorders>
            <w:tcW w:w="297"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1.4</w:t>
            </w:r>
            <w:r/>
          </w:p>
        </w:tc>
        <w:tc>
          <w:tcPr>
            <w:tcBorders>
              <w:top w:val="none" w:color="000000" w:sz="4" w:space="0"/>
              <w:left w:val="none" w:color="000000" w:sz="4" w:space="0"/>
              <w:bottom w:val="single" w:color="auto" w:sz="8" w:space="0"/>
              <w:right w:val="single" w:color="auto" w:sz="8" w:space="0"/>
            </w:tcBorders>
            <w:tcW w:w="575"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机房内设备维保</w:t>
            </w:r>
            <w:r/>
          </w:p>
        </w:tc>
        <w:tc>
          <w:tcPr>
            <w:tcBorders>
              <w:top w:val="none" w:color="000000" w:sz="4" w:space="0"/>
              <w:left w:val="none" w:color="000000" w:sz="4" w:space="0"/>
              <w:bottom w:val="single" w:color="auto" w:sz="8" w:space="0"/>
              <w:right w:val="single" w:color="auto" w:sz="8" w:space="0"/>
            </w:tcBorders>
            <w:tcW w:w="1691"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对机房内服务器、安全产品、交换机、动环系统等产品延保、设备维修及配件更换、恢复公安网云创平台使用、专业技术支持等服务。对机房内网络进行管理配置，保障网络畅通，对网络故障进行诊断分析，并提交诊断报告。（主要包含约320台设备）云存储设备需要对损坏的硬盘及配件进行更换（约100块4TB企业级硬盘）</w:t>
            </w:r>
            <w:r/>
          </w:p>
        </w:tc>
        <w:tc>
          <w:tcPr>
            <w:tcBorders>
              <w:top w:val="none" w:color="000000" w:sz="4" w:space="0"/>
              <w:left w:val="none" w:color="000000" w:sz="4" w:space="0"/>
              <w:bottom w:val="single" w:color="auto" w:sz="8" w:space="0"/>
              <w:right w:val="single" w:color="auto" w:sz="8" w:space="0"/>
            </w:tcBorders>
            <w:tcW w:w="294"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项</w:t>
            </w:r>
            <w:r/>
          </w:p>
        </w:tc>
        <w:tc>
          <w:tcPr>
            <w:tcBorders>
              <w:top w:val="none" w:color="000000" w:sz="4" w:space="0"/>
              <w:left w:val="none" w:color="000000" w:sz="4" w:space="0"/>
              <w:bottom w:val="single" w:color="auto" w:sz="8" w:space="0"/>
              <w:right w:val="single" w:color="auto" w:sz="8" w:space="0"/>
            </w:tcBorders>
            <w:tcW w:w="257"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w:t>
            </w:r>
            <w:r/>
          </w:p>
        </w:tc>
        <w:tc>
          <w:tcPr>
            <w:tcBorders>
              <w:top w:val="none" w:color="000000" w:sz="4" w:space="0"/>
              <w:left w:val="none" w:color="000000" w:sz="4" w:space="0"/>
              <w:bottom w:val="single" w:color="auto" w:sz="8" w:space="0"/>
              <w:right w:val="single" w:color="auto" w:sz="8" w:space="0"/>
            </w:tcBorders>
            <w:tcW w:w="476"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309000</w:t>
            </w:r>
            <w:r/>
          </w:p>
        </w:tc>
        <w:tc>
          <w:tcPr>
            <w:tcBorders>
              <w:top w:val="none" w:color="000000" w:sz="4" w:space="0"/>
              <w:left w:val="none" w:color="000000" w:sz="4" w:space="0"/>
              <w:bottom w:val="single" w:color="auto" w:sz="8" w:space="0"/>
              <w:right w:val="single" w:color="auto" w:sz="8" w:space="0"/>
            </w:tcBorders>
            <w:tcW w:w="466"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　</w:t>
            </w:r>
            <w:r/>
          </w:p>
        </w:tc>
        <w:tc>
          <w:tcPr>
            <w:tcBorders>
              <w:top w:val="none" w:color="000000" w:sz="4" w:space="0"/>
              <w:left w:val="none" w:color="000000" w:sz="4" w:space="0"/>
              <w:bottom w:val="single" w:color="auto" w:sz="8" w:space="0"/>
              <w:right w:val="single" w:color="auto" w:sz="8" w:space="0"/>
            </w:tcBorders>
            <w:tcW w:w="470"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c>
          <w:tcPr>
            <w:tcBorders>
              <w:top w:val="none" w:color="000000" w:sz="4" w:space="0"/>
              <w:left w:val="none" w:color="000000" w:sz="4" w:space="0"/>
              <w:bottom w:val="single" w:color="auto" w:sz="8" w:space="0"/>
              <w:right w:val="single" w:color="auto" w:sz="8" w:space="0"/>
            </w:tcBorders>
            <w:tcW w:w="470"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r>
      <w:tr>
        <w:trPr>
          <w:trHeight w:val="480"/>
        </w:trPr>
        <w:tc>
          <w:tcPr>
            <w:shd w:val="clear" w:color="000000" w:fill="bfbfbf"/>
            <w:tcBorders>
              <w:top w:val="none" w:color="000000" w:sz="4" w:space="0"/>
              <w:left w:val="single" w:color="auto" w:sz="8" w:space="0"/>
              <w:bottom w:val="single" w:color="auto" w:sz="8" w:space="0"/>
              <w:right w:val="single" w:color="auto" w:sz="8" w:space="0"/>
            </w:tcBorders>
            <w:tcW w:w="297"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w:t>
            </w:r>
            <w:r/>
          </w:p>
        </w:tc>
        <w:tc>
          <w:tcPr>
            <w:gridSpan w:val="7"/>
            <w:shd w:val="clear" w:color="000000" w:fill="bfbfbf"/>
            <w:tcBorders>
              <w:top w:val="none" w:color="000000" w:sz="4" w:space="0"/>
              <w:left w:val="none" w:color="000000" w:sz="4" w:space="0"/>
              <w:bottom w:val="single" w:color="auto" w:sz="8" w:space="0"/>
              <w:right w:val="single" w:color="auto" w:sz="8" w:space="0"/>
            </w:tcBorders>
            <w:tcW w:w="4232"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交警支队软件维保延期服务　</w:t>
            </w:r>
            <w:r/>
          </w:p>
        </w:tc>
        <w:tc>
          <w:tcPr>
            <w:shd w:val="clear" w:color="000000" w:fill="bfbfbf"/>
            <w:tcBorders>
              <w:top w:val="none" w:color="000000" w:sz="4" w:space="0"/>
              <w:left w:val="none" w:color="000000" w:sz="4" w:space="0"/>
              <w:bottom w:val="single" w:color="auto" w:sz="8" w:space="0"/>
              <w:right w:val="single" w:color="auto" w:sz="8" w:space="0"/>
            </w:tcBorders>
            <w:tcW w:w="470"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r>
      <w:tr>
        <w:trPr>
          <w:trHeight w:val="285"/>
        </w:trPr>
        <w:tc>
          <w:tcPr>
            <w:tcBorders>
              <w:top w:val="none" w:color="000000" w:sz="4" w:space="0"/>
              <w:left w:val="single" w:color="auto" w:sz="8" w:space="0"/>
              <w:bottom w:val="single" w:color="auto" w:sz="8" w:space="0"/>
              <w:right w:val="single" w:color="auto" w:sz="8" w:space="0"/>
            </w:tcBorders>
            <w:tcW w:w="297"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2.1</w:t>
            </w:r>
            <w:r/>
          </w:p>
        </w:tc>
        <w:tc>
          <w:tcPr>
            <w:tcBorders>
              <w:top w:val="none" w:color="000000" w:sz="4" w:space="0"/>
              <w:left w:val="none" w:color="000000" w:sz="4" w:space="0"/>
              <w:bottom w:val="single" w:color="auto" w:sz="8" w:space="0"/>
              <w:right w:val="single" w:color="auto" w:sz="8" w:space="0"/>
            </w:tcBorders>
            <w:tcW w:w="575"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软件维保延期服务</w:t>
            </w:r>
            <w:r/>
          </w:p>
        </w:tc>
        <w:tc>
          <w:tcPr>
            <w:tcBorders>
              <w:top w:val="none" w:color="000000" w:sz="4" w:space="0"/>
              <w:left w:val="none" w:color="000000" w:sz="4" w:space="0"/>
              <w:bottom w:val="single" w:color="auto" w:sz="8" w:space="0"/>
              <w:right w:val="single" w:color="auto" w:sz="8" w:space="0"/>
            </w:tcBorders>
            <w:tcW w:w="1691"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非现场处理监管平台</w:t>
            </w:r>
            <w:r/>
          </w:p>
        </w:tc>
        <w:tc>
          <w:tcPr>
            <w:tcBorders>
              <w:top w:val="none" w:color="000000" w:sz="4" w:space="0"/>
              <w:left w:val="none" w:color="000000" w:sz="4" w:space="0"/>
              <w:bottom w:val="single" w:color="auto" w:sz="8" w:space="0"/>
              <w:right w:val="single" w:color="auto" w:sz="8" w:space="0"/>
            </w:tcBorders>
            <w:tcW w:w="294"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项</w:t>
            </w:r>
            <w:r/>
          </w:p>
        </w:tc>
        <w:tc>
          <w:tcPr>
            <w:tcBorders>
              <w:top w:val="none" w:color="000000" w:sz="4" w:space="0"/>
              <w:left w:val="none" w:color="000000" w:sz="4" w:space="0"/>
              <w:bottom w:val="single" w:color="auto" w:sz="8" w:space="0"/>
              <w:right w:val="single" w:color="auto" w:sz="8" w:space="0"/>
            </w:tcBorders>
            <w:tcW w:w="257"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w:t>
            </w:r>
            <w:r/>
          </w:p>
        </w:tc>
        <w:tc>
          <w:tcPr>
            <w:tcBorders>
              <w:top w:val="none" w:color="000000" w:sz="4" w:space="0"/>
              <w:left w:val="none" w:color="000000" w:sz="4" w:space="0"/>
              <w:bottom w:val="single" w:color="auto" w:sz="8" w:space="0"/>
              <w:right w:val="single" w:color="auto" w:sz="8" w:space="0"/>
            </w:tcBorders>
            <w:tcW w:w="476"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100000</w:t>
            </w:r>
            <w:r/>
          </w:p>
        </w:tc>
        <w:tc>
          <w:tcPr>
            <w:tcBorders>
              <w:top w:val="none" w:color="000000" w:sz="4" w:space="0"/>
              <w:left w:val="none" w:color="000000" w:sz="4" w:space="0"/>
              <w:bottom w:val="single" w:color="auto" w:sz="8" w:space="0"/>
              <w:right w:val="single" w:color="auto" w:sz="8" w:space="0"/>
            </w:tcBorders>
            <w:tcW w:w="466"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c>
          <w:tcPr>
            <w:tcBorders>
              <w:top w:val="none" w:color="000000" w:sz="4" w:space="0"/>
              <w:left w:val="none" w:color="000000" w:sz="4" w:space="0"/>
              <w:bottom w:val="single" w:color="auto" w:sz="8" w:space="0"/>
              <w:right w:val="single" w:color="auto" w:sz="8" w:space="0"/>
            </w:tcBorders>
            <w:tcW w:w="470"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c>
          <w:tcPr>
            <w:tcBorders>
              <w:top w:val="none" w:color="000000" w:sz="4" w:space="0"/>
              <w:left w:val="none" w:color="000000" w:sz="4" w:space="0"/>
              <w:bottom w:val="single" w:color="auto" w:sz="8" w:space="0"/>
              <w:right w:val="single" w:color="auto" w:sz="8" w:space="0"/>
            </w:tcBorders>
            <w:tcW w:w="893"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新希望　</w:t>
            </w:r>
            <w:r/>
          </w:p>
        </w:tc>
      </w:tr>
      <w:tr>
        <w:trPr>
          <w:trHeight w:val="285"/>
        </w:trPr>
        <w:tc>
          <w:tcPr>
            <w:tcBorders>
              <w:top w:val="none" w:color="000000" w:sz="4" w:space="0"/>
              <w:left w:val="single" w:color="auto" w:sz="8" w:space="0"/>
              <w:bottom w:val="single" w:color="auto" w:sz="8" w:space="0"/>
              <w:right w:val="single" w:color="auto" w:sz="8" w:space="0"/>
            </w:tcBorders>
            <w:tcW w:w="297"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2.2</w:t>
            </w:r>
            <w:r/>
          </w:p>
        </w:tc>
        <w:tc>
          <w:tcPr>
            <w:tcBorders>
              <w:top w:val="none" w:color="000000" w:sz="4" w:space="0"/>
              <w:left w:val="none" w:color="000000" w:sz="4" w:space="0"/>
              <w:bottom w:val="single" w:color="auto" w:sz="8" w:space="0"/>
              <w:right w:val="single" w:color="auto" w:sz="8" w:space="0"/>
            </w:tcBorders>
            <w:tcW w:w="575"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软件维保延期服务</w:t>
            </w:r>
            <w:r/>
          </w:p>
        </w:tc>
        <w:tc>
          <w:tcPr>
            <w:tcBorders>
              <w:top w:val="none" w:color="000000" w:sz="4" w:space="0"/>
              <w:left w:val="none" w:color="000000" w:sz="4" w:space="0"/>
              <w:bottom w:val="single" w:color="auto" w:sz="8" w:space="0"/>
              <w:right w:val="single" w:color="auto" w:sz="8" w:space="0"/>
            </w:tcBorders>
            <w:tcW w:w="1691"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人脸识别服务</w:t>
            </w:r>
            <w:r/>
          </w:p>
        </w:tc>
        <w:tc>
          <w:tcPr>
            <w:tcBorders>
              <w:top w:val="none" w:color="000000" w:sz="4" w:space="0"/>
              <w:left w:val="none" w:color="000000" w:sz="4" w:space="0"/>
              <w:bottom w:val="single" w:color="auto" w:sz="8" w:space="0"/>
              <w:right w:val="single" w:color="auto" w:sz="8" w:space="0"/>
            </w:tcBorders>
            <w:tcW w:w="294"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项</w:t>
            </w:r>
            <w:r/>
          </w:p>
        </w:tc>
        <w:tc>
          <w:tcPr>
            <w:tcBorders>
              <w:top w:val="none" w:color="000000" w:sz="4" w:space="0"/>
              <w:left w:val="none" w:color="000000" w:sz="4" w:space="0"/>
              <w:bottom w:val="single" w:color="auto" w:sz="8" w:space="0"/>
              <w:right w:val="single" w:color="auto" w:sz="8" w:space="0"/>
            </w:tcBorders>
            <w:tcW w:w="257"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w:t>
            </w:r>
            <w:r/>
          </w:p>
        </w:tc>
        <w:tc>
          <w:tcPr>
            <w:tcBorders>
              <w:top w:val="none" w:color="000000" w:sz="4" w:space="0"/>
              <w:left w:val="none" w:color="000000" w:sz="4" w:space="0"/>
              <w:bottom w:val="single" w:color="auto" w:sz="8" w:space="0"/>
              <w:right w:val="single" w:color="auto" w:sz="8" w:space="0"/>
            </w:tcBorders>
            <w:tcW w:w="476"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80000</w:t>
            </w:r>
            <w:r/>
          </w:p>
        </w:tc>
        <w:tc>
          <w:tcPr>
            <w:tcBorders>
              <w:top w:val="none" w:color="000000" w:sz="4" w:space="0"/>
              <w:left w:val="none" w:color="000000" w:sz="4" w:space="0"/>
              <w:bottom w:val="single" w:color="auto" w:sz="8" w:space="0"/>
              <w:right w:val="single" w:color="auto" w:sz="8" w:space="0"/>
            </w:tcBorders>
            <w:tcW w:w="466"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c>
          <w:tcPr>
            <w:tcBorders>
              <w:top w:val="none" w:color="000000" w:sz="4" w:space="0"/>
              <w:left w:val="none" w:color="000000" w:sz="4" w:space="0"/>
              <w:bottom w:val="single" w:color="auto" w:sz="8" w:space="0"/>
              <w:right w:val="single" w:color="auto" w:sz="8" w:space="0"/>
            </w:tcBorders>
            <w:tcW w:w="470"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c>
          <w:tcPr>
            <w:tcBorders>
              <w:top w:val="none" w:color="000000" w:sz="4" w:space="0"/>
              <w:left w:val="none" w:color="000000" w:sz="4" w:space="0"/>
              <w:bottom w:val="single" w:color="auto" w:sz="8" w:space="0"/>
              <w:right w:val="single" w:color="auto" w:sz="8" w:space="0"/>
            </w:tcBorders>
            <w:tcW w:w="893"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依图　</w:t>
            </w:r>
            <w:r/>
          </w:p>
        </w:tc>
      </w:tr>
      <w:tr>
        <w:trPr>
          <w:trHeight w:val="285"/>
        </w:trPr>
        <w:tc>
          <w:tcPr>
            <w:tcBorders>
              <w:top w:val="none" w:color="000000" w:sz="4" w:space="0"/>
              <w:left w:val="single" w:color="auto" w:sz="8" w:space="0"/>
              <w:bottom w:val="single" w:color="auto" w:sz="8" w:space="0"/>
              <w:right w:val="single" w:color="auto" w:sz="8" w:space="0"/>
            </w:tcBorders>
            <w:tcW w:w="297"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2.3</w:t>
            </w:r>
            <w:r/>
          </w:p>
        </w:tc>
        <w:tc>
          <w:tcPr>
            <w:tcBorders>
              <w:top w:val="none" w:color="000000" w:sz="4" w:space="0"/>
              <w:left w:val="none" w:color="000000" w:sz="4" w:space="0"/>
              <w:bottom w:val="single" w:color="auto" w:sz="8" w:space="0"/>
              <w:right w:val="single" w:color="auto" w:sz="8" w:space="0"/>
            </w:tcBorders>
            <w:tcW w:w="575"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软件维保延期服务</w:t>
            </w:r>
            <w:r/>
          </w:p>
        </w:tc>
        <w:tc>
          <w:tcPr>
            <w:tcBorders>
              <w:top w:val="none" w:color="000000" w:sz="4" w:space="0"/>
              <w:left w:val="none" w:color="000000" w:sz="4" w:space="0"/>
              <w:bottom w:val="single" w:color="auto" w:sz="8" w:space="0"/>
              <w:right w:val="single" w:color="auto" w:sz="8" w:space="0"/>
            </w:tcBorders>
            <w:tcW w:w="1691"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同步库软件</w:t>
            </w:r>
            <w:r/>
          </w:p>
        </w:tc>
        <w:tc>
          <w:tcPr>
            <w:tcBorders>
              <w:top w:val="none" w:color="000000" w:sz="4" w:space="0"/>
              <w:left w:val="none" w:color="000000" w:sz="4" w:space="0"/>
              <w:bottom w:val="single" w:color="auto" w:sz="8" w:space="0"/>
              <w:right w:val="single" w:color="auto" w:sz="8" w:space="0"/>
            </w:tcBorders>
            <w:tcW w:w="294"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项</w:t>
            </w:r>
            <w:r/>
          </w:p>
        </w:tc>
        <w:tc>
          <w:tcPr>
            <w:tcBorders>
              <w:top w:val="none" w:color="000000" w:sz="4" w:space="0"/>
              <w:left w:val="none" w:color="000000" w:sz="4" w:space="0"/>
              <w:bottom w:val="single" w:color="auto" w:sz="8" w:space="0"/>
              <w:right w:val="single" w:color="auto" w:sz="8" w:space="0"/>
            </w:tcBorders>
            <w:tcW w:w="257"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w:t>
            </w:r>
            <w:r/>
          </w:p>
        </w:tc>
        <w:tc>
          <w:tcPr>
            <w:tcBorders>
              <w:top w:val="none" w:color="000000" w:sz="4" w:space="0"/>
              <w:left w:val="none" w:color="000000" w:sz="4" w:space="0"/>
              <w:bottom w:val="single" w:color="auto" w:sz="8" w:space="0"/>
              <w:right w:val="single" w:color="auto" w:sz="8" w:space="0"/>
            </w:tcBorders>
            <w:tcW w:w="476"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50000</w:t>
            </w:r>
            <w:r/>
          </w:p>
        </w:tc>
        <w:tc>
          <w:tcPr>
            <w:tcBorders>
              <w:top w:val="none" w:color="000000" w:sz="4" w:space="0"/>
              <w:left w:val="none" w:color="000000" w:sz="4" w:space="0"/>
              <w:bottom w:val="single" w:color="auto" w:sz="8" w:space="0"/>
              <w:right w:val="single" w:color="auto" w:sz="8" w:space="0"/>
            </w:tcBorders>
            <w:tcW w:w="466"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c>
          <w:tcPr>
            <w:tcBorders>
              <w:top w:val="none" w:color="000000" w:sz="4" w:space="0"/>
              <w:left w:val="none" w:color="000000" w:sz="4" w:space="0"/>
              <w:bottom w:val="single" w:color="auto" w:sz="8" w:space="0"/>
              <w:right w:val="single" w:color="auto" w:sz="8" w:space="0"/>
            </w:tcBorders>
            <w:tcW w:w="470"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c>
          <w:tcPr>
            <w:tcBorders>
              <w:top w:val="none" w:color="000000" w:sz="4" w:space="0"/>
              <w:left w:val="none" w:color="000000" w:sz="4" w:space="0"/>
              <w:bottom w:val="single" w:color="auto" w:sz="8" w:space="0"/>
              <w:right w:val="single" w:color="auto" w:sz="8" w:space="0"/>
            </w:tcBorders>
            <w:tcW w:w="893"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迪思杰　</w:t>
            </w:r>
            <w:r/>
          </w:p>
        </w:tc>
      </w:tr>
      <w:tr>
        <w:trPr>
          <w:trHeight w:val="480"/>
        </w:trPr>
        <w:tc>
          <w:tcPr>
            <w:tcBorders>
              <w:top w:val="none" w:color="000000" w:sz="4" w:space="0"/>
              <w:left w:val="single" w:color="auto" w:sz="8" w:space="0"/>
              <w:bottom w:val="single" w:color="auto" w:sz="8" w:space="0"/>
              <w:right w:val="single" w:color="auto" w:sz="8" w:space="0"/>
            </w:tcBorders>
            <w:tcW w:w="297"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2.4</w:t>
            </w:r>
            <w:r/>
          </w:p>
        </w:tc>
        <w:tc>
          <w:tcPr>
            <w:tcBorders>
              <w:top w:val="none" w:color="000000" w:sz="4" w:space="0"/>
              <w:left w:val="none" w:color="000000" w:sz="4" w:space="0"/>
              <w:bottom w:val="single" w:color="auto" w:sz="8" w:space="0"/>
              <w:right w:val="single" w:color="auto" w:sz="8" w:space="0"/>
            </w:tcBorders>
            <w:tcW w:w="575"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软件维保延期服务</w:t>
            </w:r>
            <w:r/>
          </w:p>
        </w:tc>
        <w:tc>
          <w:tcPr>
            <w:tcBorders>
              <w:top w:val="none" w:color="000000" w:sz="4" w:space="0"/>
              <w:left w:val="none" w:color="000000" w:sz="4" w:space="0"/>
              <w:bottom w:val="single" w:color="auto" w:sz="8" w:space="0"/>
              <w:right w:val="single" w:color="auto" w:sz="8" w:space="0"/>
            </w:tcBorders>
            <w:tcW w:w="1691"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泰州交警感知网视频联网平台（含平台授权1年）</w:t>
            </w:r>
            <w:r/>
          </w:p>
        </w:tc>
        <w:tc>
          <w:tcPr>
            <w:tcBorders>
              <w:top w:val="none" w:color="000000" w:sz="4" w:space="0"/>
              <w:left w:val="none" w:color="000000" w:sz="4" w:space="0"/>
              <w:bottom w:val="single" w:color="auto" w:sz="8" w:space="0"/>
              <w:right w:val="single" w:color="auto" w:sz="8" w:space="0"/>
            </w:tcBorders>
            <w:tcW w:w="294"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项</w:t>
            </w:r>
            <w:r/>
          </w:p>
        </w:tc>
        <w:tc>
          <w:tcPr>
            <w:tcBorders>
              <w:top w:val="none" w:color="000000" w:sz="4" w:space="0"/>
              <w:left w:val="none" w:color="000000" w:sz="4" w:space="0"/>
              <w:bottom w:val="single" w:color="auto" w:sz="8" w:space="0"/>
              <w:right w:val="single" w:color="auto" w:sz="8" w:space="0"/>
            </w:tcBorders>
            <w:tcW w:w="257"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w:t>
            </w:r>
            <w:r/>
          </w:p>
        </w:tc>
        <w:tc>
          <w:tcPr>
            <w:tcBorders>
              <w:top w:val="none" w:color="000000" w:sz="4" w:space="0"/>
              <w:left w:val="none" w:color="000000" w:sz="4" w:space="0"/>
              <w:bottom w:val="single" w:color="auto" w:sz="8" w:space="0"/>
              <w:right w:val="single" w:color="auto" w:sz="8" w:space="0"/>
            </w:tcBorders>
            <w:tcW w:w="476"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50000</w:t>
            </w:r>
            <w:r/>
          </w:p>
        </w:tc>
        <w:tc>
          <w:tcPr>
            <w:tcBorders>
              <w:top w:val="none" w:color="000000" w:sz="4" w:space="0"/>
              <w:left w:val="none" w:color="000000" w:sz="4" w:space="0"/>
              <w:bottom w:val="single" w:color="auto" w:sz="8" w:space="0"/>
              <w:right w:val="single" w:color="auto" w:sz="8" w:space="0"/>
            </w:tcBorders>
            <w:tcW w:w="466"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c>
          <w:tcPr>
            <w:tcBorders>
              <w:top w:val="none" w:color="000000" w:sz="4" w:space="0"/>
              <w:left w:val="none" w:color="000000" w:sz="4" w:space="0"/>
              <w:bottom w:val="single" w:color="auto" w:sz="8" w:space="0"/>
              <w:right w:val="single" w:color="auto" w:sz="8" w:space="0"/>
            </w:tcBorders>
            <w:tcW w:w="470"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c>
          <w:tcPr>
            <w:tcBorders>
              <w:top w:val="none" w:color="000000" w:sz="4" w:space="0"/>
              <w:left w:val="none" w:color="000000" w:sz="4" w:space="0"/>
              <w:bottom w:val="single" w:color="auto" w:sz="8" w:space="0"/>
              <w:right w:val="single" w:color="auto" w:sz="8" w:space="0"/>
            </w:tcBorders>
            <w:tcW w:w="893" w:type="dxa"/>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海康威视　</w:t>
            </w:r>
            <w:r/>
          </w:p>
        </w:tc>
      </w:tr>
      <w:tr>
        <w:trPr>
          <w:trHeight w:val="285"/>
        </w:trPr>
        <w:tc>
          <w:tcPr>
            <w:tcBorders>
              <w:top w:val="none" w:color="000000" w:sz="4" w:space="0"/>
              <w:left w:val="single" w:color="auto" w:sz="8" w:space="0"/>
              <w:bottom w:val="single" w:color="auto" w:sz="8" w:space="0"/>
              <w:right w:val="single" w:color="auto" w:sz="8" w:space="0"/>
            </w:tcBorders>
            <w:tcW w:w="297"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2.5</w:t>
            </w:r>
            <w:r/>
          </w:p>
        </w:tc>
        <w:tc>
          <w:tcPr>
            <w:tcBorders>
              <w:top w:val="none" w:color="000000" w:sz="4" w:space="0"/>
              <w:left w:val="none" w:color="000000" w:sz="4" w:space="0"/>
              <w:bottom w:val="single" w:color="auto" w:sz="8" w:space="0"/>
              <w:right w:val="single" w:color="auto" w:sz="8" w:space="0"/>
            </w:tcBorders>
            <w:tcW w:w="575"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软件维保延期服务</w:t>
            </w:r>
            <w:r/>
          </w:p>
        </w:tc>
        <w:tc>
          <w:tcPr>
            <w:tcBorders>
              <w:top w:val="none" w:color="000000" w:sz="4" w:space="0"/>
              <w:left w:val="none" w:color="000000" w:sz="4" w:space="0"/>
              <w:bottom w:val="single" w:color="auto" w:sz="8" w:space="0"/>
              <w:right w:val="single" w:color="auto" w:sz="8" w:space="0"/>
            </w:tcBorders>
            <w:tcW w:w="1691"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公安交通集成指挥平台</w:t>
            </w:r>
            <w:r/>
          </w:p>
        </w:tc>
        <w:tc>
          <w:tcPr>
            <w:tcBorders>
              <w:top w:val="none" w:color="000000" w:sz="4" w:space="0"/>
              <w:left w:val="none" w:color="000000" w:sz="4" w:space="0"/>
              <w:bottom w:val="single" w:color="auto" w:sz="8" w:space="0"/>
              <w:right w:val="single" w:color="auto" w:sz="8" w:space="0"/>
            </w:tcBorders>
            <w:tcW w:w="294"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项</w:t>
            </w:r>
            <w:r/>
          </w:p>
        </w:tc>
        <w:tc>
          <w:tcPr>
            <w:tcBorders>
              <w:top w:val="none" w:color="000000" w:sz="4" w:space="0"/>
              <w:left w:val="none" w:color="000000" w:sz="4" w:space="0"/>
              <w:bottom w:val="single" w:color="auto" w:sz="8" w:space="0"/>
              <w:right w:val="single" w:color="auto" w:sz="8" w:space="0"/>
            </w:tcBorders>
            <w:tcW w:w="257"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w:t>
            </w:r>
            <w:r/>
          </w:p>
        </w:tc>
        <w:tc>
          <w:tcPr>
            <w:tcBorders>
              <w:top w:val="none" w:color="000000" w:sz="4" w:space="0"/>
              <w:left w:val="none" w:color="000000" w:sz="4" w:space="0"/>
              <w:bottom w:val="single" w:color="auto" w:sz="8" w:space="0"/>
              <w:right w:val="single" w:color="auto" w:sz="8" w:space="0"/>
            </w:tcBorders>
            <w:tcW w:w="476"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80000</w:t>
            </w:r>
            <w:r/>
          </w:p>
        </w:tc>
        <w:tc>
          <w:tcPr>
            <w:tcBorders>
              <w:top w:val="none" w:color="000000" w:sz="4" w:space="0"/>
              <w:left w:val="none" w:color="000000" w:sz="4" w:space="0"/>
              <w:bottom w:val="single" w:color="auto" w:sz="8" w:space="0"/>
              <w:right w:val="single" w:color="auto" w:sz="8" w:space="0"/>
            </w:tcBorders>
            <w:tcW w:w="466"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　</w:t>
            </w:r>
            <w:r/>
          </w:p>
        </w:tc>
        <w:tc>
          <w:tcPr>
            <w:tcBorders>
              <w:top w:val="none" w:color="000000" w:sz="4" w:space="0"/>
              <w:left w:val="none" w:color="000000" w:sz="4" w:space="0"/>
              <w:bottom w:val="single" w:color="auto" w:sz="8" w:space="0"/>
              <w:right w:val="single" w:color="auto" w:sz="8" w:space="0"/>
            </w:tcBorders>
            <w:tcW w:w="470"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c>
          <w:tcPr>
            <w:tcBorders>
              <w:top w:val="none" w:color="000000" w:sz="4" w:space="0"/>
              <w:left w:val="none" w:color="000000" w:sz="4" w:space="0"/>
              <w:bottom w:val="single" w:color="auto" w:sz="8" w:space="0"/>
              <w:right w:val="single" w:color="auto" w:sz="8" w:space="0"/>
            </w:tcBorders>
            <w:tcW w:w="470"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r>
      <w:tr>
        <w:trPr>
          <w:trHeight w:val="480"/>
        </w:trPr>
        <w:tc>
          <w:tcPr>
            <w:tcBorders>
              <w:top w:val="none" w:color="000000" w:sz="4" w:space="0"/>
              <w:left w:val="single" w:color="auto" w:sz="8" w:space="0"/>
              <w:bottom w:val="single" w:color="auto" w:sz="8" w:space="0"/>
              <w:right w:val="single" w:color="auto" w:sz="8" w:space="0"/>
            </w:tcBorders>
            <w:tcW w:w="297"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2.6</w:t>
            </w:r>
            <w:r/>
          </w:p>
        </w:tc>
        <w:tc>
          <w:tcPr>
            <w:tcBorders>
              <w:top w:val="none" w:color="000000" w:sz="4" w:space="0"/>
              <w:left w:val="none" w:color="000000" w:sz="4" w:space="0"/>
              <w:bottom w:val="single" w:color="auto" w:sz="8" w:space="0"/>
              <w:right w:val="single" w:color="auto" w:sz="8" w:space="0"/>
            </w:tcBorders>
            <w:tcW w:w="575"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等保测评服务</w:t>
            </w:r>
            <w:r/>
          </w:p>
        </w:tc>
        <w:tc>
          <w:tcPr>
            <w:tcBorders>
              <w:top w:val="none" w:color="000000" w:sz="4" w:space="0"/>
              <w:left w:val="none" w:color="000000" w:sz="4" w:space="0"/>
              <w:bottom w:val="single" w:color="auto" w:sz="8" w:space="0"/>
              <w:right w:val="single" w:color="auto" w:sz="8" w:space="0"/>
            </w:tcBorders>
            <w:tcW w:w="1691"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对公安交通集成指挥平台提供一次三级等保测评</w:t>
            </w:r>
            <w:r/>
          </w:p>
        </w:tc>
        <w:tc>
          <w:tcPr>
            <w:tcBorders>
              <w:top w:val="none" w:color="000000" w:sz="4" w:space="0"/>
              <w:left w:val="none" w:color="000000" w:sz="4" w:space="0"/>
              <w:bottom w:val="single" w:color="auto" w:sz="8" w:space="0"/>
              <w:right w:val="single" w:color="auto" w:sz="8" w:space="0"/>
            </w:tcBorders>
            <w:tcW w:w="294"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项</w:t>
            </w:r>
            <w:r/>
          </w:p>
        </w:tc>
        <w:tc>
          <w:tcPr>
            <w:tcBorders>
              <w:top w:val="none" w:color="000000" w:sz="4" w:space="0"/>
              <w:left w:val="none" w:color="000000" w:sz="4" w:space="0"/>
              <w:bottom w:val="single" w:color="auto" w:sz="8" w:space="0"/>
              <w:right w:val="single" w:color="auto" w:sz="8" w:space="0"/>
            </w:tcBorders>
            <w:tcW w:w="257"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w:t>
            </w:r>
            <w:r/>
          </w:p>
        </w:tc>
        <w:tc>
          <w:tcPr>
            <w:tcBorders>
              <w:top w:val="none" w:color="000000" w:sz="4" w:space="0"/>
              <w:left w:val="none" w:color="000000" w:sz="4" w:space="0"/>
              <w:bottom w:val="single" w:color="auto" w:sz="8" w:space="0"/>
              <w:right w:val="single" w:color="auto" w:sz="8" w:space="0"/>
            </w:tcBorders>
            <w:tcW w:w="476"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50000</w:t>
            </w:r>
            <w:r/>
          </w:p>
        </w:tc>
        <w:tc>
          <w:tcPr>
            <w:tcBorders>
              <w:top w:val="none" w:color="000000" w:sz="4" w:space="0"/>
              <w:left w:val="none" w:color="000000" w:sz="4" w:space="0"/>
              <w:bottom w:val="single" w:color="auto" w:sz="8" w:space="0"/>
              <w:right w:val="single" w:color="auto" w:sz="8" w:space="0"/>
            </w:tcBorders>
            <w:tcW w:w="466"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　</w:t>
            </w:r>
            <w:r/>
          </w:p>
        </w:tc>
        <w:tc>
          <w:tcPr>
            <w:tcBorders>
              <w:top w:val="none" w:color="000000" w:sz="4" w:space="0"/>
              <w:left w:val="none" w:color="000000" w:sz="4" w:space="0"/>
              <w:bottom w:val="single" w:color="auto" w:sz="8" w:space="0"/>
              <w:right w:val="single" w:color="auto" w:sz="8" w:space="0"/>
            </w:tcBorders>
            <w:tcW w:w="470"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c>
          <w:tcPr>
            <w:tcBorders>
              <w:top w:val="none" w:color="000000" w:sz="4" w:space="0"/>
              <w:left w:val="none" w:color="000000" w:sz="4" w:space="0"/>
              <w:bottom w:val="single" w:color="auto" w:sz="8" w:space="0"/>
              <w:right w:val="single" w:color="auto" w:sz="8" w:space="0"/>
            </w:tcBorders>
            <w:tcW w:w="470"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r>
      <w:tr>
        <w:trPr>
          <w:trHeight w:val="720"/>
        </w:trPr>
        <w:tc>
          <w:tcPr>
            <w:tcBorders>
              <w:top w:val="none" w:color="000000" w:sz="4" w:space="0"/>
              <w:left w:val="single" w:color="auto" w:sz="8" w:space="0"/>
              <w:bottom w:val="single" w:color="auto" w:sz="8" w:space="0"/>
              <w:right w:val="single" w:color="auto" w:sz="8" w:space="0"/>
            </w:tcBorders>
            <w:tcW w:w="297"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2.7</w:t>
            </w:r>
            <w:r/>
          </w:p>
        </w:tc>
        <w:tc>
          <w:tcPr>
            <w:tcBorders>
              <w:top w:val="none" w:color="000000" w:sz="4" w:space="0"/>
              <w:left w:val="none" w:color="000000" w:sz="4" w:space="0"/>
              <w:bottom w:val="single" w:color="auto" w:sz="8" w:space="0"/>
              <w:right w:val="single" w:color="auto" w:sz="8" w:space="0"/>
            </w:tcBorders>
            <w:tcW w:w="575"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防火墙服务</w:t>
            </w:r>
            <w:r/>
          </w:p>
        </w:tc>
        <w:tc>
          <w:tcPr>
            <w:tcBorders>
              <w:top w:val="none" w:color="000000" w:sz="4" w:space="0"/>
              <w:left w:val="none" w:color="000000" w:sz="4" w:space="0"/>
              <w:bottom w:val="single" w:color="auto" w:sz="8" w:space="0"/>
              <w:right w:val="single" w:color="auto" w:sz="8" w:space="0"/>
            </w:tcBorders>
            <w:tcW w:w="1691"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更换支队大楼互联网出口防火墙服务一套、感知网-互联网（边界）防火墙服务一套</w:t>
            </w:r>
            <w:r/>
          </w:p>
        </w:tc>
        <w:tc>
          <w:tcPr>
            <w:tcBorders>
              <w:top w:val="none" w:color="000000" w:sz="4" w:space="0"/>
              <w:left w:val="none" w:color="000000" w:sz="4" w:space="0"/>
              <w:bottom w:val="single" w:color="auto" w:sz="8" w:space="0"/>
              <w:right w:val="single" w:color="auto" w:sz="8" w:space="0"/>
            </w:tcBorders>
            <w:tcW w:w="294"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项</w:t>
            </w:r>
            <w:r/>
          </w:p>
        </w:tc>
        <w:tc>
          <w:tcPr>
            <w:tcBorders>
              <w:top w:val="none" w:color="000000" w:sz="4" w:space="0"/>
              <w:left w:val="none" w:color="000000" w:sz="4" w:space="0"/>
              <w:bottom w:val="single" w:color="auto" w:sz="8" w:space="0"/>
              <w:right w:val="single" w:color="auto" w:sz="8" w:space="0"/>
            </w:tcBorders>
            <w:tcW w:w="257"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w:t>
            </w:r>
            <w:r/>
          </w:p>
        </w:tc>
        <w:tc>
          <w:tcPr>
            <w:tcBorders>
              <w:top w:val="none" w:color="000000" w:sz="4" w:space="0"/>
              <w:left w:val="none" w:color="000000" w:sz="4" w:space="0"/>
              <w:bottom w:val="single" w:color="auto" w:sz="8" w:space="0"/>
              <w:right w:val="single" w:color="auto" w:sz="8" w:space="0"/>
            </w:tcBorders>
            <w:tcW w:w="476"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80000</w:t>
            </w:r>
            <w:r/>
          </w:p>
        </w:tc>
        <w:tc>
          <w:tcPr>
            <w:tcBorders>
              <w:top w:val="none" w:color="000000" w:sz="4" w:space="0"/>
              <w:left w:val="none" w:color="000000" w:sz="4" w:space="0"/>
              <w:bottom w:val="single" w:color="auto" w:sz="8" w:space="0"/>
              <w:right w:val="single" w:color="auto" w:sz="8" w:space="0"/>
            </w:tcBorders>
            <w:tcW w:w="466"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　</w:t>
            </w:r>
            <w:r/>
          </w:p>
        </w:tc>
        <w:tc>
          <w:tcPr>
            <w:tcBorders>
              <w:top w:val="none" w:color="000000" w:sz="4" w:space="0"/>
              <w:left w:val="none" w:color="000000" w:sz="4" w:space="0"/>
              <w:bottom w:val="single" w:color="auto" w:sz="8" w:space="0"/>
              <w:right w:val="single" w:color="auto" w:sz="8" w:space="0"/>
            </w:tcBorders>
            <w:tcW w:w="470"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c>
          <w:tcPr>
            <w:tcBorders>
              <w:top w:val="none" w:color="000000" w:sz="4" w:space="0"/>
              <w:left w:val="none" w:color="000000" w:sz="4" w:space="0"/>
              <w:bottom w:val="single" w:color="auto" w:sz="8" w:space="0"/>
              <w:right w:val="single" w:color="auto" w:sz="8" w:space="0"/>
            </w:tcBorders>
            <w:tcW w:w="470"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r>
      <w:tr>
        <w:trPr>
          <w:trHeight w:val="285"/>
        </w:trPr>
        <w:tc>
          <w:tcPr>
            <w:shd w:val="clear" w:color="000000" w:fill="bfbfbf"/>
            <w:tcBorders>
              <w:top w:val="none" w:color="000000" w:sz="4" w:space="0"/>
              <w:left w:val="single" w:color="auto" w:sz="8" w:space="0"/>
              <w:bottom w:val="single" w:color="auto" w:sz="8" w:space="0"/>
              <w:right w:val="single" w:color="auto" w:sz="8" w:space="0"/>
            </w:tcBorders>
            <w:tcW w:w="297"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w:t>
            </w:r>
            <w:r/>
          </w:p>
        </w:tc>
        <w:tc>
          <w:tcPr>
            <w:gridSpan w:val="7"/>
            <w:shd w:val="clear" w:color="000000" w:fill="bfbfbf"/>
            <w:tcBorders>
              <w:top w:val="none" w:color="000000" w:sz="4" w:space="0"/>
              <w:left w:val="none" w:color="000000" w:sz="4" w:space="0"/>
              <w:bottom w:val="single" w:color="auto" w:sz="8" w:space="0"/>
              <w:right w:val="single" w:color="auto" w:sz="8" w:space="0"/>
            </w:tcBorders>
            <w:tcW w:w="4232"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交警支队前端维保　　</w:t>
            </w:r>
            <w:r/>
          </w:p>
        </w:tc>
        <w:tc>
          <w:tcPr>
            <w:shd w:val="clear" w:color="000000" w:fill="bfbfbf"/>
            <w:tcBorders>
              <w:top w:val="none" w:color="000000" w:sz="4" w:space="0"/>
              <w:left w:val="none" w:color="000000" w:sz="4" w:space="0"/>
              <w:bottom w:val="single" w:color="auto" w:sz="8" w:space="0"/>
              <w:right w:val="single" w:color="auto" w:sz="8" w:space="0"/>
            </w:tcBorders>
            <w:tcW w:w="470"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r>
      <w:tr>
        <w:trPr>
          <w:trHeight w:val="480"/>
        </w:trPr>
        <w:tc>
          <w:tcPr>
            <w:tcBorders>
              <w:top w:val="none" w:color="000000" w:sz="4" w:space="0"/>
              <w:left w:val="single" w:color="auto" w:sz="8" w:space="0"/>
              <w:bottom w:val="single" w:color="auto" w:sz="8" w:space="0"/>
              <w:right w:val="single" w:color="auto" w:sz="8" w:space="0"/>
            </w:tcBorders>
            <w:tcW w:w="297"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3.1</w:t>
            </w:r>
            <w:r/>
          </w:p>
        </w:tc>
        <w:tc>
          <w:tcPr>
            <w:tcBorders>
              <w:top w:val="none" w:color="000000" w:sz="4" w:space="0"/>
              <w:left w:val="none" w:color="000000" w:sz="4" w:space="0"/>
              <w:bottom w:val="single" w:color="auto" w:sz="8" w:space="0"/>
              <w:right w:val="single" w:color="auto" w:sz="8" w:space="0"/>
            </w:tcBorders>
            <w:tcW w:w="575"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交警支队前端设备维保</w:t>
            </w:r>
            <w:r/>
          </w:p>
        </w:tc>
        <w:tc>
          <w:tcPr>
            <w:tcBorders>
              <w:top w:val="none" w:color="000000" w:sz="4" w:space="0"/>
              <w:left w:val="none" w:color="000000" w:sz="4" w:space="0"/>
              <w:bottom w:val="single" w:color="auto" w:sz="8" w:space="0"/>
              <w:right w:val="single" w:color="auto" w:sz="8" w:space="0"/>
            </w:tcBorders>
            <w:tcW w:w="1691"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公安交通集成指挥平台重要点位关联的设备，数量84个点位</w:t>
            </w:r>
            <w:r/>
          </w:p>
        </w:tc>
        <w:tc>
          <w:tcPr>
            <w:tcBorders>
              <w:top w:val="none" w:color="000000" w:sz="4" w:space="0"/>
              <w:left w:val="none" w:color="000000" w:sz="4" w:space="0"/>
              <w:bottom w:val="single" w:color="auto" w:sz="8" w:space="0"/>
              <w:right w:val="single" w:color="auto" w:sz="8" w:space="0"/>
            </w:tcBorders>
            <w:tcW w:w="294"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项</w:t>
            </w:r>
            <w:r/>
          </w:p>
        </w:tc>
        <w:tc>
          <w:tcPr>
            <w:tcBorders>
              <w:top w:val="none" w:color="000000" w:sz="4" w:space="0"/>
              <w:left w:val="none" w:color="000000" w:sz="4" w:space="0"/>
              <w:bottom w:val="single" w:color="auto" w:sz="8" w:space="0"/>
              <w:right w:val="single" w:color="auto" w:sz="8" w:space="0"/>
            </w:tcBorders>
            <w:tcW w:w="257"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w:t>
            </w:r>
            <w:r/>
          </w:p>
        </w:tc>
        <w:tc>
          <w:tcPr>
            <w:tcBorders>
              <w:top w:val="none" w:color="000000" w:sz="4" w:space="0"/>
              <w:left w:val="none" w:color="000000" w:sz="4" w:space="0"/>
              <w:bottom w:val="single" w:color="auto" w:sz="8" w:space="0"/>
              <w:right w:val="single" w:color="auto" w:sz="8" w:space="0"/>
            </w:tcBorders>
            <w:tcW w:w="476"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27000</w:t>
            </w:r>
            <w:r/>
          </w:p>
        </w:tc>
        <w:tc>
          <w:tcPr>
            <w:tcBorders>
              <w:top w:val="none" w:color="000000" w:sz="4" w:space="0"/>
              <w:left w:val="none" w:color="000000" w:sz="4" w:space="0"/>
              <w:bottom w:val="single" w:color="auto" w:sz="8" w:space="0"/>
              <w:right w:val="single" w:color="auto" w:sz="8" w:space="0"/>
            </w:tcBorders>
            <w:tcW w:w="466"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　</w:t>
            </w:r>
            <w:r/>
          </w:p>
        </w:tc>
        <w:tc>
          <w:tcPr>
            <w:tcBorders>
              <w:top w:val="none" w:color="000000" w:sz="4" w:space="0"/>
              <w:left w:val="none" w:color="000000" w:sz="4" w:space="0"/>
              <w:bottom w:val="single" w:color="auto" w:sz="8" w:space="0"/>
              <w:right w:val="single" w:color="auto" w:sz="8" w:space="0"/>
            </w:tcBorders>
            <w:tcW w:w="470"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c>
          <w:tcPr>
            <w:tcBorders>
              <w:top w:val="none" w:color="000000" w:sz="4" w:space="0"/>
              <w:left w:val="none" w:color="000000" w:sz="4" w:space="0"/>
              <w:bottom w:val="single" w:color="auto" w:sz="8" w:space="0"/>
              <w:right w:val="single" w:color="auto" w:sz="8" w:space="0"/>
            </w:tcBorders>
            <w:tcW w:w="470"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r>
      <w:tr>
        <w:trPr>
          <w:trHeight w:val="285"/>
        </w:trPr>
        <w:tc>
          <w:tcPr>
            <w:tcBorders>
              <w:top w:val="none" w:color="000000" w:sz="4" w:space="0"/>
              <w:left w:val="single" w:color="auto" w:sz="8" w:space="0"/>
              <w:bottom w:val="single" w:color="auto" w:sz="8" w:space="0"/>
              <w:right w:val="single" w:color="auto" w:sz="8" w:space="0"/>
            </w:tcBorders>
            <w:tcW w:w="297"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3.2</w:t>
            </w:r>
            <w:r/>
          </w:p>
        </w:tc>
        <w:tc>
          <w:tcPr>
            <w:tcBorders>
              <w:top w:val="none" w:color="000000" w:sz="4" w:space="0"/>
              <w:left w:val="none" w:color="000000" w:sz="4" w:space="0"/>
              <w:bottom w:val="single" w:color="auto" w:sz="8" w:space="0"/>
              <w:right w:val="single" w:color="auto" w:sz="8" w:space="0"/>
            </w:tcBorders>
            <w:tcW w:w="575"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执法取证设备维保</w:t>
            </w:r>
            <w:r/>
          </w:p>
        </w:tc>
        <w:tc>
          <w:tcPr>
            <w:tcBorders>
              <w:top w:val="none" w:color="000000" w:sz="4" w:space="0"/>
              <w:left w:val="none" w:color="000000" w:sz="4" w:space="0"/>
              <w:bottom w:val="single" w:color="auto" w:sz="8" w:space="0"/>
              <w:right w:val="single" w:color="auto" w:sz="8" w:space="0"/>
            </w:tcBorders>
            <w:tcW w:w="1691"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执法取证设备维保，数量1946台</w:t>
            </w:r>
            <w:r/>
          </w:p>
        </w:tc>
        <w:tc>
          <w:tcPr>
            <w:tcBorders>
              <w:top w:val="none" w:color="000000" w:sz="4" w:space="0"/>
              <w:left w:val="none" w:color="000000" w:sz="4" w:space="0"/>
              <w:bottom w:val="single" w:color="auto" w:sz="8" w:space="0"/>
              <w:right w:val="single" w:color="auto" w:sz="8" w:space="0"/>
            </w:tcBorders>
            <w:tcW w:w="294"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项</w:t>
            </w:r>
            <w:r/>
          </w:p>
        </w:tc>
        <w:tc>
          <w:tcPr>
            <w:tcBorders>
              <w:top w:val="none" w:color="000000" w:sz="4" w:space="0"/>
              <w:left w:val="none" w:color="000000" w:sz="4" w:space="0"/>
              <w:bottom w:val="single" w:color="auto" w:sz="8" w:space="0"/>
              <w:right w:val="single" w:color="auto" w:sz="8" w:space="0"/>
            </w:tcBorders>
            <w:tcW w:w="257"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w:t>
            </w:r>
            <w:r/>
          </w:p>
        </w:tc>
        <w:tc>
          <w:tcPr>
            <w:tcBorders>
              <w:top w:val="none" w:color="000000" w:sz="4" w:space="0"/>
              <w:left w:val="none" w:color="000000" w:sz="4" w:space="0"/>
              <w:bottom w:val="single" w:color="auto" w:sz="8" w:space="0"/>
              <w:right w:val="single" w:color="auto" w:sz="8" w:space="0"/>
            </w:tcBorders>
            <w:tcW w:w="476"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396705</w:t>
            </w:r>
            <w:r/>
          </w:p>
        </w:tc>
        <w:tc>
          <w:tcPr>
            <w:tcBorders>
              <w:top w:val="none" w:color="000000" w:sz="4" w:space="0"/>
              <w:left w:val="none" w:color="000000" w:sz="4" w:space="0"/>
              <w:bottom w:val="single" w:color="auto" w:sz="8" w:space="0"/>
              <w:right w:val="single" w:color="auto" w:sz="8" w:space="0"/>
            </w:tcBorders>
            <w:tcW w:w="466"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　</w:t>
            </w:r>
            <w:r/>
          </w:p>
        </w:tc>
        <w:tc>
          <w:tcPr>
            <w:tcBorders>
              <w:top w:val="none" w:color="000000" w:sz="4" w:space="0"/>
              <w:left w:val="none" w:color="000000" w:sz="4" w:space="0"/>
              <w:bottom w:val="single" w:color="auto" w:sz="8" w:space="0"/>
              <w:right w:val="single" w:color="auto" w:sz="8" w:space="0"/>
            </w:tcBorders>
            <w:tcW w:w="470"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c>
          <w:tcPr>
            <w:tcBorders>
              <w:top w:val="none" w:color="000000" w:sz="4" w:space="0"/>
              <w:left w:val="none" w:color="000000" w:sz="4" w:space="0"/>
              <w:bottom w:val="single" w:color="auto" w:sz="8" w:space="0"/>
              <w:right w:val="single" w:color="auto" w:sz="8" w:space="0"/>
            </w:tcBorders>
            <w:tcW w:w="470"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r>
      <w:tr>
        <w:trPr>
          <w:trHeight w:val="285"/>
        </w:trPr>
        <w:tc>
          <w:tcPr>
            <w:tcBorders>
              <w:top w:val="none" w:color="000000" w:sz="4" w:space="0"/>
              <w:left w:val="single" w:color="auto" w:sz="8" w:space="0"/>
              <w:bottom w:val="single" w:color="auto" w:sz="8" w:space="0"/>
              <w:right w:val="single" w:color="auto" w:sz="8" w:space="0"/>
            </w:tcBorders>
            <w:tcW w:w="297"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3.3</w:t>
            </w:r>
            <w:r/>
          </w:p>
        </w:tc>
        <w:tc>
          <w:tcPr>
            <w:tcBorders>
              <w:top w:val="none" w:color="000000" w:sz="4" w:space="0"/>
              <w:left w:val="none" w:color="000000" w:sz="4" w:space="0"/>
              <w:bottom w:val="single" w:color="auto" w:sz="8" w:space="0"/>
              <w:right w:val="single" w:color="auto" w:sz="8" w:space="0"/>
            </w:tcBorders>
            <w:tcW w:w="575"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预警卡口设备维保</w:t>
            </w:r>
            <w:r/>
          </w:p>
        </w:tc>
        <w:tc>
          <w:tcPr>
            <w:tcBorders>
              <w:top w:val="none" w:color="000000" w:sz="4" w:space="0"/>
              <w:left w:val="none" w:color="000000" w:sz="4" w:space="0"/>
              <w:bottom w:val="single" w:color="auto" w:sz="8" w:space="0"/>
              <w:right w:val="single" w:color="auto" w:sz="8" w:space="0"/>
            </w:tcBorders>
            <w:tcW w:w="1691"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预警卡口设备1125台</w:t>
            </w:r>
            <w:r/>
          </w:p>
        </w:tc>
        <w:tc>
          <w:tcPr>
            <w:tcBorders>
              <w:top w:val="none" w:color="000000" w:sz="4" w:space="0"/>
              <w:left w:val="none" w:color="000000" w:sz="4" w:space="0"/>
              <w:bottom w:val="single" w:color="auto" w:sz="8" w:space="0"/>
              <w:right w:val="single" w:color="auto" w:sz="8" w:space="0"/>
            </w:tcBorders>
            <w:tcW w:w="294"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项</w:t>
            </w:r>
            <w:r/>
          </w:p>
        </w:tc>
        <w:tc>
          <w:tcPr>
            <w:tcBorders>
              <w:top w:val="none" w:color="000000" w:sz="4" w:space="0"/>
              <w:left w:val="none" w:color="000000" w:sz="4" w:space="0"/>
              <w:bottom w:val="single" w:color="auto" w:sz="8" w:space="0"/>
              <w:right w:val="single" w:color="auto" w:sz="8" w:space="0"/>
            </w:tcBorders>
            <w:tcW w:w="257"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w:t>
            </w:r>
            <w:r/>
          </w:p>
        </w:tc>
        <w:tc>
          <w:tcPr>
            <w:tcBorders>
              <w:top w:val="none" w:color="000000" w:sz="4" w:space="0"/>
              <w:left w:val="none" w:color="000000" w:sz="4" w:space="0"/>
              <w:bottom w:val="single" w:color="auto" w:sz="8" w:space="0"/>
              <w:right w:val="single" w:color="auto" w:sz="8" w:space="0"/>
            </w:tcBorders>
            <w:tcW w:w="476"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225391</w:t>
            </w:r>
            <w:r/>
          </w:p>
        </w:tc>
        <w:tc>
          <w:tcPr>
            <w:tcBorders>
              <w:top w:val="none" w:color="000000" w:sz="4" w:space="0"/>
              <w:left w:val="none" w:color="000000" w:sz="4" w:space="0"/>
              <w:bottom w:val="single" w:color="auto" w:sz="8" w:space="0"/>
              <w:right w:val="single" w:color="auto" w:sz="8" w:space="0"/>
            </w:tcBorders>
            <w:tcW w:w="466"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c>
          <w:tcPr>
            <w:tcBorders>
              <w:top w:val="none" w:color="000000" w:sz="4" w:space="0"/>
              <w:left w:val="none" w:color="000000" w:sz="4" w:space="0"/>
              <w:bottom w:val="single" w:color="auto" w:sz="8" w:space="0"/>
              <w:right w:val="single" w:color="auto" w:sz="8" w:space="0"/>
            </w:tcBorders>
            <w:tcW w:w="470"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c>
          <w:tcPr>
            <w:tcBorders>
              <w:top w:val="none" w:color="000000" w:sz="4" w:space="0"/>
              <w:left w:val="none" w:color="000000" w:sz="4" w:space="0"/>
              <w:bottom w:val="single" w:color="auto" w:sz="8" w:space="0"/>
              <w:right w:val="single" w:color="auto" w:sz="8" w:space="0"/>
            </w:tcBorders>
            <w:tcW w:w="470"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r>
      <w:tr>
        <w:trPr>
          <w:trHeight w:val="480"/>
        </w:trPr>
        <w:tc>
          <w:tcPr>
            <w:shd w:val="clear" w:color="000000" w:fill="bfbfbf"/>
            <w:tcBorders>
              <w:top w:val="none" w:color="000000" w:sz="4" w:space="0"/>
              <w:left w:val="single" w:color="auto" w:sz="8" w:space="0"/>
              <w:bottom w:val="single" w:color="auto" w:sz="8" w:space="0"/>
              <w:right w:val="single" w:color="auto" w:sz="8" w:space="0"/>
            </w:tcBorders>
            <w:tcW w:w="297"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w:t>
            </w:r>
            <w:r/>
          </w:p>
        </w:tc>
        <w:tc>
          <w:tcPr>
            <w:gridSpan w:val="7"/>
            <w:shd w:val="clear" w:color="000000" w:fill="bfbfbf"/>
            <w:tcBorders>
              <w:top w:val="none" w:color="000000" w:sz="4" w:space="0"/>
              <w:left w:val="none" w:color="000000" w:sz="4" w:space="0"/>
              <w:bottom w:val="single" w:color="auto" w:sz="8" w:space="0"/>
              <w:right w:val="single" w:color="auto" w:sz="8" w:space="0"/>
            </w:tcBorders>
            <w:tcW w:w="4232"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车管所相关设备维保　</w:t>
            </w:r>
            <w:r/>
          </w:p>
        </w:tc>
        <w:tc>
          <w:tcPr>
            <w:shd w:val="clear" w:color="000000" w:fill="bfbfbf"/>
            <w:tcBorders>
              <w:top w:val="none" w:color="000000" w:sz="4" w:space="0"/>
              <w:left w:val="none" w:color="000000" w:sz="4" w:space="0"/>
              <w:bottom w:val="single" w:color="auto" w:sz="8" w:space="0"/>
              <w:right w:val="single" w:color="auto" w:sz="8" w:space="0"/>
            </w:tcBorders>
            <w:tcW w:w="470"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r>
      <w:tr>
        <w:trPr>
          <w:trHeight w:val="1440"/>
        </w:trPr>
        <w:tc>
          <w:tcPr>
            <w:tcBorders>
              <w:top w:val="none" w:color="000000" w:sz="4" w:space="0"/>
              <w:left w:val="single" w:color="auto" w:sz="8" w:space="0"/>
              <w:bottom w:val="single" w:color="auto" w:sz="8" w:space="0"/>
              <w:right w:val="single" w:color="auto" w:sz="8" w:space="0"/>
            </w:tcBorders>
            <w:tcW w:w="297"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4.1</w:t>
            </w:r>
            <w:r/>
          </w:p>
        </w:tc>
        <w:tc>
          <w:tcPr>
            <w:tcBorders>
              <w:top w:val="none" w:color="000000" w:sz="4" w:space="0"/>
              <w:left w:val="none" w:color="000000" w:sz="4" w:space="0"/>
              <w:bottom w:val="single" w:color="auto" w:sz="8" w:space="0"/>
              <w:right w:val="single" w:color="auto" w:sz="8" w:space="0"/>
            </w:tcBorders>
            <w:tcW w:w="575"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设备维保</w:t>
            </w:r>
            <w:r/>
          </w:p>
        </w:tc>
        <w:tc>
          <w:tcPr>
            <w:tcBorders>
              <w:top w:val="none" w:color="000000" w:sz="4" w:space="0"/>
              <w:left w:val="none" w:color="000000" w:sz="4" w:space="0"/>
              <w:bottom w:val="single" w:color="auto" w:sz="8" w:space="0"/>
              <w:right w:val="single" w:color="auto" w:sz="8" w:space="0"/>
            </w:tcBorders>
            <w:tcW w:w="1691"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对车管所的服务器、安全产品、交换机等产品延保、设备维修及配件更换、专业技术支持等服务。对机房内网络进行管理配置，保障网络畅通，对网络故障进行诊断分析，并提交诊断报告。（主要包含约170台设备）</w:t>
            </w:r>
            <w:r/>
          </w:p>
        </w:tc>
        <w:tc>
          <w:tcPr>
            <w:tcBorders>
              <w:top w:val="none" w:color="000000" w:sz="4" w:space="0"/>
              <w:left w:val="none" w:color="000000" w:sz="4" w:space="0"/>
              <w:bottom w:val="single" w:color="auto" w:sz="8" w:space="0"/>
              <w:right w:val="single" w:color="auto" w:sz="8" w:space="0"/>
            </w:tcBorders>
            <w:tcW w:w="294"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项</w:t>
            </w:r>
            <w:r/>
          </w:p>
        </w:tc>
        <w:tc>
          <w:tcPr>
            <w:tcBorders>
              <w:top w:val="none" w:color="000000" w:sz="4" w:space="0"/>
              <w:left w:val="none" w:color="000000" w:sz="4" w:space="0"/>
              <w:bottom w:val="single" w:color="auto" w:sz="8" w:space="0"/>
              <w:right w:val="single" w:color="auto" w:sz="8" w:space="0"/>
            </w:tcBorders>
            <w:tcW w:w="257"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w:t>
            </w:r>
            <w:r/>
          </w:p>
        </w:tc>
        <w:tc>
          <w:tcPr>
            <w:tcBorders>
              <w:top w:val="none" w:color="000000" w:sz="4" w:space="0"/>
              <w:left w:val="none" w:color="000000" w:sz="4" w:space="0"/>
              <w:bottom w:val="single" w:color="auto" w:sz="8" w:space="0"/>
              <w:right w:val="single" w:color="auto" w:sz="8" w:space="0"/>
            </w:tcBorders>
            <w:tcW w:w="476"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80000</w:t>
            </w:r>
            <w:r/>
          </w:p>
        </w:tc>
        <w:tc>
          <w:tcPr>
            <w:tcBorders>
              <w:top w:val="none" w:color="000000" w:sz="4" w:space="0"/>
              <w:left w:val="none" w:color="000000" w:sz="4" w:space="0"/>
              <w:bottom w:val="single" w:color="auto" w:sz="8" w:space="0"/>
              <w:right w:val="single" w:color="auto" w:sz="8" w:space="0"/>
            </w:tcBorders>
            <w:tcW w:w="466"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　</w:t>
            </w:r>
            <w:r/>
          </w:p>
        </w:tc>
        <w:tc>
          <w:tcPr>
            <w:tcBorders>
              <w:top w:val="none" w:color="000000" w:sz="4" w:space="0"/>
              <w:left w:val="none" w:color="000000" w:sz="4" w:space="0"/>
              <w:bottom w:val="single" w:color="auto" w:sz="8" w:space="0"/>
              <w:right w:val="single" w:color="auto" w:sz="8" w:space="0"/>
            </w:tcBorders>
            <w:tcW w:w="470"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c>
          <w:tcPr>
            <w:tcBorders>
              <w:top w:val="none" w:color="000000" w:sz="4" w:space="0"/>
              <w:left w:val="none" w:color="000000" w:sz="4" w:space="0"/>
              <w:bottom w:val="single" w:color="auto" w:sz="8" w:space="0"/>
              <w:right w:val="single" w:color="auto" w:sz="8" w:space="0"/>
            </w:tcBorders>
            <w:tcW w:w="470"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r>
      <w:tr>
        <w:trPr>
          <w:trHeight w:val="960"/>
        </w:trPr>
        <w:tc>
          <w:tcPr>
            <w:tcBorders>
              <w:top w:val="none" w:color="000000" w:sz="4" w:space="0"/>
              <w:left w:val="single" w:color="auto" w:sz="8" w:space="0"/>
              <w:bottom w:val="single" w:color="auto" w:sz="8" w:space="0"/>
              <w:right w:val="single" w:color="auto" w:sz="8" w:space="0"/>
            </w:tcBorders>
            <w:tcW w:w="297"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4.2</w:t>
            </w:r>
            <w:r/>
          </w:p>
        </w:tc>
        <w:tc>
          <w:tcPr>
            <w:tcBorders>
              <w:top w:val="none" w:color="000000" w:sz="4" w:space="0"/>
              <w:left w:val="none" w:color="000000" w:sz="4" w:space="0"/>
              <w:bottom w:val="single" w:color="auto" w:sz="8" w:space="0"/>
              <w:right w:val="single" w:color="auto" w:sz="8" w:space="0"/>
            </w:tcBorders>
            <w:tcW w:w="575"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机房环境设备维保</w:t>
            </w:r>
            <w:r/>
          </w:p>
        </w:tc>
        <w:tc>
          <w:tcPr>
            <w:tcBorders>
              <w:top w:val="none" w:color="000000" w:sz="4" w:space="0"/>
              <w:left w:val="none" w:color="000000" w:sz="4" w:space="0"/>
              <w:bottom w:val="single" w:color="auto" w:sz="8" w:space="0"/>
              <w:right w:val="single" w:color="auto" w:sz="8" w:space="0"/>
            </w:tcBorders>
            <w:tcW w:w="1691"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两台20KW精密空调维保，原UPS并机有一台已损坏无法使用，拆除并机后单机运行。新建机柜未接入UPS系统中，需搭线接入</w:t>
            </w:r>
            <w:r/>
          </w:p>
        </w:tc>
        <w:tc>
          <w:tcPr>
            <w:tcBorders>
              <w:top w:val="none" w:color="000000" w:sz="4" w:space="0"/>
              <w:left w:val="none" w:color="000000" w:sz="4" w:space="0"/>
              <w:bottom w:val="single" w:color="auto" w:sz="8" w:space="0"/>
              <w:right w:val="single" w:color="auto" w:sz="8" w:space="0"/>
            </w:tcBorders>
            <w:tcW w:w="294"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项</w:t>
            </w:r>
            <w:r/>
          </w:p>
        </w:tc>
        <w:tc>
          <w:tcPr>
            <w:tcBorders>
              <w:top w:val="none" w:color="000000" w:sz="4" w:space="0"/>
              <w:left w:val="none" w:color="000000" w:sz="4" w:space="0"/>
              <w:bottom w:val="single" w:color="auto" w:sz="8" w:space="0"/>
              <w:right w:val="single" w:color="auto" w:sz="8" w:space="0"/>
            </w:tcBorders>
            <w:tcW w:w="257"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w:t>
            </w:r>
            <w:r/>
          </w:p>
        </w:tc>
        <w:tc>
          <w:tcPr>
            <w:tcBorders>
              <w:top w:val="none" w:color="000000" w:sz="4" w:space="0"/>
              <w:left w:val="none" w:color="000000" w:sz="4" w:space="0"/>
              <w:bottom w:val="single" w:color="auto" w:sz="8" w:space="0"/>
              <w:right w:val="single" w:color="auto" w:sz="8" w:space="0"/>
            </w:tcBorders>
            <w:tcW w:w="476"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50000</w:t>
            </w:r>
            <w:r/>
          </w:p>
        </w:tc>
        <w:tc>
          <w:tcPr>
            <w:tcBorders>
              <w:top w:val="none" w:color="000000" w:sz="4" w:space="0"/>
              <w:left w:val="none" w:color="000000" w:sz="4" w:space="0"/>
              <w:bottom w:val="single" w:color="auto" w:sz="8" w:space="0"/>
              <w:right w:val="single" w:color="auto" w:sz="8" w:space="0"/>
            </w:tcBorders>
            <w:tcW w:w="466"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　</w:t>
            </w:r>
            <w:r/>
          </w:p>
        </w:tc>
        <w:tc>
          <w:tcPr>
            <w:tcBorders>
              <w:top w:val="none" w:color="000000" w:sz="4" w:space="0"/>
              <w:left w:val="none" w:color="000000" w:sz="4" w:space="0"/>
              <w:bottom w:val="single" w:color="auto" w:sz="8" w:space="0"/>
              <w:right w:val="single" w:color="auto" w:sz="8" w:space="0"/>
            </w:tcBorders>
            <w:tcW w:w="470"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c>
          <w:tcPr>
            <w:tcBorders>
              <w:top w:val="none" w:color="000000" w:sz="4" w:space="0"/>
              <w:left w:val="none" w:color="000000" w:sz="4" w:space="0"/>
              <w:bottom w:val="single" w:color="auto" w:sz="8" w:space="0"/>
              <w:right w:val="single" w:color="auto" w:sz="8" w:space="0"/>
            </w:tcBorders>
            <w:tcW w:w="470"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r>
      <w:tr>
        <w:trPr>
          <w:trHeight w:val="285"/>
        </w:trPr>
        <w:tc>
          <w:tcPr>
            <w:tcBorders>
              <w:top w:val="none" w:color="000000" w:sz="4" w:space="0"/>
              <w:left w:val="single" w:color="auto" w:sz="8" w:space="0"/>
              <w:bottom w:val="single" w:color="auto" w:sz="4" w:space="0"/>
              <w:right w:val="single" w:color="auto" w:sz="8" w:space="0"/>
            </w:tcBorders>
            <w:tcW w:w="297"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4.3</w:t>
            </w:r>
            <w:r/>
          </w:p>
        </w:tc>
        <w:tc>
          <w:tcPr>
            <w:tcBorders>
              <w:top w:val="none" w:color="000000" w:sz="4" w:space="0"/>
              <w:left w:val="none" w:color="000000" w:sz="4" w:space="0"/>
              <w:bottom w:val="single" w:color="auto" w:sz="4" w:space="0"/>
              <w:right w:val="single" w:color="auto" w:sz="8" w:space="0"/>
            </w:tcBorders>
            <w:tcW w:w="575"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监控维保</w:t>
            </w:r>
            <w:r/>
          </w:p>
        </w:tc>
        <w:tc>
          <w:tcPr>
            <w:tcBorders>
              <w:top w:val="none" w:color="000000" w:sz="4" w:space="0"/>
              <w:left w:val="none" w:color="000000" w:sz="4" w:space="0"/>
              <w:bottom w:val="single" w:color="auto" w:sz="4" w:space="0"/>
              <w:right w:val="single" w:color="auto" w:sz="8" w:space="0"/>
            </w:tcBorders>
            <w:tcW w:w="1691"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车管所内监控维保（共240台）</w:t>
            </w:r>
            <w:r/>
          </w:p>
        </w:tc>
        <w:tc>
          <w:tcPr>
            <w:tcBorders>
              <w:top w:val="none" w:color="000000" w:sz="4" w:space="0"/>
              <w:left w:val="none" w:color="000000" w:sz="4" w:space="0"/>
              <w:bottom w:val="single" w:color="auto" w:sz="4" w:space="0"/>
              <w:right w:val="single" w:color="auto" w:sz="8" w:space="0"/>
            </w:tcBorders>
            <w:tcW w:w="294"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项</w:t>
            </w:r>
            <w:r/>
          </w:p>
        </w:tc>
        <w:tc>
          <w:tcPr>
            <w:tcBorders>
              <w:top w:val="none" w:color="000000" w:sz="4" w:space="0"/>
              <w:left w:val="none" w:color="000000" w:sz="4" w:space="0"/>
              <w:bottom w:val="single" w:color="auto" w:sz="4" w:space="0"/>
              <w:right w:val="single" w:color="auto" w:sz="8" w:space="0"/>
            </w:tcBorders>
            <w:tcW w:w="257"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w:t>
            </w:r>
            <w:r/>
          </w:p>
        </w:tc>
        <w:tc>
          <w:tcPr>
            <w:tcBorders>
              <w:top w:val="none" w:color="000000" w:sz="4" w:space="0"/>
              <w:left w:val="none" w:color="000000" w:sz="4" w:space="0"/>
              <w:bottom w:val="single" w:color="auto" w:sz="4" w:space="0"/>
              <w:right w:val="single" w:color="auto" w:sz="8" w:space="0"/>
            </w:tcBorders>
            <w:tcW w:w="476"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15000</w:t>
            </w:r>
            <w:r/>
          </w:p>
        </w:tc>
        <w:tc>
          <w:tcPr>
            <w:tcBorders>
              <w:top w:val="none" w:color="000000" w:sz="4" w:space="0"/>
              <w:left w:val="none" w:color="000000" w:sz="4" w:space="0"/>
              <w:bottom w:val="single" w:color="auto" w:sz="4" w:space="0"/>
              <w:right w:val="single" w:color="auto" w:sz="8" w:space="0"/>
            </w:tcBorders>
            <w:tcW w:w="466"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　</w:t>
            </w:r>
            <w:r/>
          </w:p>
        </w:tc>
        <w:tc>
          <w:tcPr>
            <w:tcBorders>
              <w:top w:val="none" w:color="000000" w:sz="4" w:space="0"/>
              <w:left w:val="none" w:color="000000" w:sz="4" w:space="0"/>
              <w:bottom w:val="single" w:color="auto" w:sz="4" w:space="0"/>
              <w:right w:val="single" w:color="auto" w:sz="8" w:space="0"/>
            </w:tcBorders>
            <w:tcW w:w="470"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c>
          <w:tcPr>
            <w:tcBorders>
              <w:top w:val="none" w:color="000000" w:sz="4" w:space="0"/>
              <w:left w:val="none" w:color="000000" w:sz="4" w:space="0"/>
              <w:bottom w:val="single" w:color="auto" w:sz="4" w:space="0"/>
              <w:right w:val="single" w:color="auto" w:sz="8" w:space="0"/>
            </w:tcBorders>
            <w:tcW w:w="470" w:type="pct"/>
            <w:vAlign w:val="center"/>
            <w:textDirection w:val="lrTb"/>
            <w:noWrap w:val="false"/>
          </w:tcPr>
          <w:p>
            <w:pPr>
              <w:jc w:val="center"/>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r>
      <w:tr>
        <w:trPr>
          <w:trHeight w:val="285"/>
        </w:trPr>
        <w:tc>
          <w:tcPr>
            <w:gridSpan w:val="2"/>
            <w:tcBorders>
              <w:top w:val="single" w:color="auto" w:sz="4" w:space="0"/>
              <w:left w:val="single" w:color="auto" w:sz="8" w:space="0"/>
              <w:bottom w:val="single" w:color="auto" w:sz="8" w:space="0"/>
              <w:right w:val="single" w:color="auto" w:sz="8" w:space="0"/>
            </w:tcBorders>
            <w:tcW w:w="872" w:type="pct"/>
            <w:vAlign w:val="center"/>
            <w:textDirection w:val="lrTb"/>
            <w:noWrap w:val="false"/>
          </w:tcPr>
          <w:p>
            <w:pPr>
              <w:jc w:val="center"/>
              <w:keepLines w:val="0"/>
              <w:keepNext w:val="0"/>
              <w:pageBreakBefore w:val="0"/>
              <w:spacing w:before="120" w:after="120" w:line="400" w:lineRule="atLeast"/>
              <w:widowControl w:val="off"/>
              <w:rPr>
                <w:rFonts w:hint="default"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投标报价总价</w:t>
            </w:r>
            <w:r/>
          </w:p>
        </w:tc>
        <w:tc>
          <w:tcPr>
            <w:gridSpan w:val="6"/>
            <w:tcBorders>
              <w:top w:val="single" w:color="auto" w:sz="4" w:space="0"/>
              <w:left w:val="none" w:color="000000" w:sz="4" w:space="0"/>
              <w:bottom w:val="single" w:color="auto" w:sz="8" w:space="0"/>
              <w:right w:val="single" w:color="auto" w:sz="8" w:space="0"/>
            </w:tcBorders>
            <w:tcW w:w="3656" w:type="pct"/>
            <w:vAlign w:val="center"/>
            <w:textDirection w:val="lrTb"/>
            <w:noWrap w:val="false"/>
          </w:tcPr>
          <w:p>
            <w:pPr>
              <w:jc w:val="left"/>
              <w:keepLines w:val="0"/>
              <w:keepNext w:val="0"/>
              <w:pageBreakBefore w:val="0"/>
              <w:spacing w:before="120" w:after="120" w:line="400" w:lineRule="atLeast"/>
              <w:widowControl w:val="off"/>
              <w:tabs>
                <w:tab w:val="left" w:pos="5399" w:leader="none"/>
              </w:tabs>
              <w:rPr>
                <w:rFonts w:hint="default"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ab/>
            </w:r>
            <w:r>
              <w:rPr>
                <w:rFonts w:hint="eastAsia" w:ascii="宋体" w:hAnsi="宋体" w:cs="宋体"/>
                <w:color w:val="auto"/>
                <w:sz w:val="24"/>
                <w:highlight w:val="none"/>
                <w:lang w:val="en-US" w:eastAsia="zh-CN"/>
              </w:rPr>
              <w:t xml:space="preserve">元</w:t>
            </w:r>
            <w:r/>
          </w:p>
        </w:tc>
        <w:tc>
          <w:tcPr>
            <w:tcBorders>
              <w:top w:val="single" w:color="auto" w:sz="4" w:space="0"/>
              <w:left w:val="none" w:color="000000" w:sz="4" w:space="0"/>
              <w:bottom w:val="single" w:color="auto" w:sz="8" w:space="0"/>
              <w:right w:val="single" w:color="auto" w:sz="8" w:space="0"/>
            </w:tcBorders>
            <w:tcW w:w="470" w:type="pct"/>
            <w:vAlign w:val="center"/>
            <w:textDirection w:val="lrTb"/>
            <w:noWrap w:val="false"/>
          </w:tcPr>
          <w:p>
            <w:pPr>
              <w:jc w:val="left"/>
              <w:keepLines w:val="0"/>
              <w:keepNext w:val="0"/>
              <w:pageBreakBefore w:val="0"/>
              <w:spacing w:before="120" w:after="120" w:line="400" w:lineRule="atLeast"/>
              <w:widowControl w:val="off"/>
              <w:tabs>
                <w:tab w:val="left" w:pos="5399" w:leader="none"/>
              </w:tabs>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tc>
      </w:tr>
    </w:tbl>
    <w:p>
      <w:pPr>
        <w:jc w:val="center"/>
        <w:keepLines w:val="0"/>
        <w:keepNext w:val="0"/>
        <w:pageBreakBefore w:val="0"/>
        <w:spacing w:before="120" w:after="120" w:line="400" w:lineRule="atLeast"/>
        <w:widowControl w:val="off"/>
        <w:rPr>
          <w:rFonts w:hint="default"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注：2.1、2.2、2.3、2.4四项费用投标报价时不可改变，否则作无效投标文件处理。</w:t>
      </w:r>
      <w:r/>
    </w:p>
    <w:p>
      <w:pPr>
        <w:jc w:val="left"/>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p>
      <w:pPr>
        <w:jc w:val="left"/>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r>
      <w:r/>
    </w:p>
    <w:p>
      <w:pPr>
        <w:jc w:val="right"/>
        <w:keepLines w:val="0"/>
        <w:keepNext w:val="0"/>
        <w:pageBreakBefore w:val="0"/>
        <w:spacing w:before="120" w:after="120" w:line="400" w:lineRule="atLeast"/>
        <w:widowControl w:val="off"/>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     供应商（电子签章）：</w:t>
      </w:r>
      <w:r/>
    </w:p>
    <w:p>
      <w:pPr>
        <w:jc w:val="right"/>
        <w:keepLines w:val="0"/>
        <w:keepNext w:val="0"/>
        <w:pageBreakBefore w:val="0"/>
        <w:spacing w:before="120" w:after="120" w:line="400" w:lineRule="atLeast"/>
        <w:widowControl w:val="off"/>
        <w:rPr>
          <w:rFonts w:hint="default"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日期：年 月 日</w:t>
      </w:r>
      <w:r/>
    </w:p>
    <w:p>
      <w:pPr>
        <w:rPr>
          <w:rFonts w:hint="eastAsia" w:ascii="宋体" w:hAnsi="宋体"/>
          <w:color w:val="auto"/>
          <w:sz w:val="28"/>
          <w:highlight w:val="none"/>
        </w:rPr>
      </w:pPr>
      <w:r>
        <w:rPr>
          <w:rFonts w:hint="eastAsia" w:ascii="宋体" w:hAnsi="宋体"/>
          <w:color w:val="auto"/>
          <w:sz w:val="28"/>
          <w:highlight w:val="none"/>
        </w:rPr>
        <w:br w:type="page" w:clear="all"/>
      </w:r>
      <w:r/>
    </w:p>
    <w:p>
      <w:pPr>
        <w:jc w:val="center"/>
        <w:tabs>
          <w:tab w:val="center" w:pos="4725" w:leader="none"/>
        </w:tabs>
        <w:rPr>
          <w:rFonts w:ascii="宋体" w:hAnsi="宋体"/>
          <w:color w:val="auto"/>
          <w:sz w:val="28"/>
          <w:highlight w:val="none"/>
        </w:rPr>
      </w:pPr>
      <w:r>
        <w:rPr>
          <w:rFonts w:hint="eastAsia" w:ascii="宋体" w:hAnsi="宋体"/>
          <w:color w:val="auto"/>
          <w:sz w:val="28"/>
          <w:highlight w:val="none"/>
        </w:rPr>
        <w:t xml:space="preserve">二次响应报价表（参考）</w:t>
      </w:r>
      <w:r/>
    </w:p>
    <w:p>
      <w:pPr>
        <w:jc w:val="center"/>
        <w:rPr>
          <w:rFonts w:ascii="宋体" w:hAnsi="宋体"/>
          <w:color w:val="auto"/>
          <w:sz w:val="44"/>
          <w:szCs w:val="44"/>
          <w:highlight w:val="none"/>
        </w:rPr>
      </w:pPr>
      <w:r>
        <w:rPr>
          <w:rFonts w:ascii="宋体" w:hAnsi="宋体"/>
          <w:color w:val="auto"/>
          <w:sz w:val="44"/>
          <w:szCs w:val="44"/>
          <w:highlight w:val="none"/>
        </w:rPr>
      </w:r>
      <w:r/>
    </w:p>
    <w:p>
      <w:pPr>
        <w:pStyle w:val="1164"/>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项目名称：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项目编号：                                                         </w:t>
      </w:r>
      <w:r/>
    </w:p>
    <w:tbl>
      <w:tblPr>
        <w:tblStyle w:val="1157"/>
        <w:tblW w:w="92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67"/>
        <w:gridCol w:w="7076"/>
      </w:tblGrid>
      <w:tr>
        <w:trPr>
          <w:cantSplit/>
          <w:jc w:val="center"/>
          <w:trHeight w:val="1890"/>
        </w:trPr>
        <w:tc>
          <w:tcPr>
            <w:tcBorders>
              <w:top w:val="single" w:color="auto" w:sz="4" w:space="0"/>
              <w:left w:val="single" w:color="auto" w:sz="4" w:space="0"/>
              <w:bottom w:val="single" w:color="auto" w:sz="4" w:space="0"/>
              <w:right w:val="single" w:color="auto" w:sz="4" w:space="0"/>
            </w:tcBorders>
            <w:tcW w:w="2167" w:type="dxa"/>
            <w:vAlign w:val="center"/>
            <w:textDirection w:val="lrTb"/>
            <w:noWrap w:val="false"/>
          </w:tcPr>
          <w:p>
            <w:pPr>
              <w:jc w:val="center"/>
              <w:spacing w:before="120" w:after="120"/>
              <w:rPr>
                <w:color w:val="auto"/>
                <w:szCs w:val="21"/>
                <w:highlight w:val="none"/>
              </w:rPr>
            </w:pPr>
            <w:r>
              <w:rPr>
                <w:rFonts w:hint="eastAsia"/>
                <w:color w:val="auto"/>
                <w:szCs w:val="21"/>
                <w:highlight w:val="none"/>
              </w:rPr>
              <w:t xml:space="preserve">总</w:t>
            </w:r>
            <w:r>
              <w:rPr>
                <w:color w:val="auto"/>
                <w:szCs w:val="21"/>
                <w:highlight w:val="none"/>
              </w:rPr>
              <w:t xml:space="preserve">投标报价</w:t>
            </w:r>
            <w:r/>
          </w:p>
          <w:p>
            <w:pPr>
              <w:jc w:val="center"/>
              <w:spacing w:before="120" w:after="120"/>
              <w:rPr>
                <w:color w:val="auto"/>
                <w:szCs w:val="21"/>
                <w:highlight w:val="none"/>
                <w:shd w:val="clear" w:color="auto" w:fill="ffffff"/>
              </w:rPr>
            </w:pPr>
            <w:r>
              <w:rPr>
                <w:color w:val="auto"/>
                <w:szCs w:val="21"/>
                <w:highlight w:val="none"/>
                <w:shd w:val="clear" w:color="auto" w:fill="ffffff"/>
              </w:rPr>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spacing w:before="120" w:after="120"/>
              <w:rPr>
                <w:color w:val="auto"/>
                <w:szCs w:val="21"/>
                <w:highlight w:val="none"/>
              </w:rPr>
            </w:pPr>
            <w:r>
              <w:rPr>
                <w:color w:val="auto"/>
                <w:szCs w:val="21"/>
                <w:highlight w:val="none"/>
              </w:rPr>
              <w:t xml:space="preserve">人民币</w:t>
            </w:r>
            <w:r>
              <w:rPr>
                <w:rFonts w:hint="eastAsia"/>
                <w:color w:val="auto"/>
                <w:szCs w:val="21"/>
                <w:highlight w:val="none"/>
              </w:rPr>
              <w:t xml:space="preserve">（</w:t>
            </w:r>
            <w:r>
              <w:rPr>
                <w:color w:val="auto"/>
                <w:szCs w:val="21"/>
                <w:highlight w:val="none"/>
              </w:rPr>
              <w:t xml:space="preserve">大写</w:t>
            </w:r>
            <w:r>
              <w:rPr>
                <w:rFonts w:hint="eastAsia"/>
                <w:color w:val="auto"/>
                <w:szCs w:val="21"/>
                <w:highlight w:val="none"/>
              </w:rPr>
              <w:t xml:space="preserve">）</w:t>
            </w:r>
            <w:r>
              <w:rPr>
                <w:color w:val="auto"/>
                <w:szCs w:val="21"/>
                <w:highlight w:val="none"/>
              </w:rPr>
              <w:t xml:space="preserve">￥</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 xml:space="preserve">元</w:t>
            </w:r>
            <w:r/>
          </w:p>
          <w:p>
            <w:pPr>
              <w:spacing w:before="120" w:after="120"/>
              <w:rPr>
                <w:color w:val="auto"/>
                <w:szCs w:val="21"/>
                <w:highlight w:val="none"/>
              </w:rPr>
            </w:pPr>
            <w:r>
              <w:rPr>
                <w:color w:val="auto"/>
                <w:szCs w:val="21"/>
                <w:highlight w:val="none"/>
              </w:rPr>
              <w:t xml:space="preserve">人民币</w:t>
            </w:r>
            <w:r>
              <w:rPr>
                <w:rFonts w:hint="eastAsia"/>
                <w:color w:val="auto"/>
                <w:szCs w:val="21"/>
                <w:highlight w:val="none"/>
              </w:rPr>
              <w:t xml:space="preserve">（小</w:t>
            </w:r>
            <w:r>
              <w:rPr>
                <w:color w:val="auto"/>
                <w:szCs w:val="21"/>
                <w:highlight w:val="none"/>
              </w:rPr>
              <w:t xml:space="preserve">写</w:t>
            </w:r>
            <w:r>
              <w:rPr>
                <w:rFonts w:hint="eastAsia"/>
                <w:color w:val="auto"/>
                <w:szCs w:val="21"/>
                <w:highlight w:val="none"/>
              </w:rPr>
              <w:t xml:space="preserve">）</w:t>
            </w:r>
            <w:r>
              <w:rPr>
                <w:color w:val="auto"/>
                <w:szCs w:val="21"/>
                <w:highlight w:val="none"/>
              </w:rPr>
              <w:t xml:space="preserve">￥</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 xml:space="preserve">元</w:t>
            </w:r>
            <w:r/>
          </w:p>
        </w:tc>
      </w:tr>
      <w:tr>
        <w:trPr>
          <w:jc w:val="center"/>
          <w:trHeight w:val="894"/>
        </w:trPr>
        <w:tc>
          <w:tcPr>
            <w:tcBorders>
              <w:top w:val="single" w:color="auto" w:sz="4" w:space="0"/>
              <w:left w:val="single" w:color="auto" w:sz="4" w:space="0"/>
              <w:bottom w:val="single" w:color="auto" w:sz="4" w:space="0"/>
              <w:right w:val="single" w:color="auto" w:sz="4" w:space="0"/>
            </w:tcBorders>
            <w:tcW w:w="2167" w:type="dxa"/>
            <w:vAlign w:val="center"/>
            <w:textDirection w:val="lrTb"/>
            <w:noWrap w:val="false"/>
          </w:tcPr>
          <w:p>
            <w:pPr>
              <w:jc w:val="center"/>
              <w:spacing w:before="120" w:after="120"/>
              <w:rPr>
                <w:rFonts w:ascii="宋体" w:hAnsi="宋体" w:cs="宋体"/>
                <w:color w:val="auto"/>
                <w:szCs w:val="21"/>
                <w:highlight w:val="none"/>
                <w:shd w:val="clear" w:color="auto" w:fill="ffffff"/>
              </w:rPr>
            </w:pPr>
            <w:r>
              <w:rPr>
                <w:rFonts w:hint="eastAsia"/>
                <w:color w:val="auto"/>
                <w:szCs w:val="21"/>
                <w:highlight w:val="none"/>
              </w:rPr>
              <w:t xml:space="preserve">合同履行期限</w:t>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spacing w:before="120" w:after="120"/>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tc>
      </w:tr>
    </w:tbl>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法定代表人或者授权代表（签字或盖章）：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p>
    <w:p>
      <w:pPr>
        <w:spacing w:line="360" w:lineRule="auto"/>
        <w:rPr>
          <w:rFonts w:ascii="宋体" w:hAnsi="宋体"/>
          <w:color w:val="auto"/>
          <w:szCs w:val="21"/>
          <w:highlight w:val="none"/>
          <w:u w:val="single"/>
        </w:rPr>
      </w:pPr>
      <w:r>
        <w:rPr>
          <w:rFonts w:hint="eastAsia" w:ascii="宋体" w:hAnsi="宋体"/>
          <w:color w:val="auto"/>
          <w:szCs w:val="21"/>
          <w:highlight w:val="none"/>
        </w:rPr>
        <w:t xml:space="preserve">磋商供应商全称（加盖CA电子公章）：</w:t>
      </w:r>
      <w:r>
        <w:rPr>
          <w:rFonts w:hint="eastAsia" w:ascii="宋体" w:hAnsi="宋体"/>
          <w:color w:val="auto"/>
          <w:szCs w:val="21"/>
          <w:highlight w:val="none"/>
          <w:u w:val="single"/>
        </w:rPr>
        <w:t xml:space="preserve">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                                               日期：    年   月    日</w:t>
      </w:r>
      <w:r/>
    </w:p>
    <w:p>
      <w:pPr>
        <w:spacing w:line="360" w:lineRule="auto"/>
        <w:rPr>
          <w:rFonts w:ascii="宋体" w:hAnsi="宋体"/>
          <w:color w:val="auto"/>
          <w:szCs w:val="21"/>
          <w:highlight w:val="none"/>
        </w:rPr>
      </w:pPr>
      <w:r>
        <w:rPr>
          <w:rFonts w:ascii="宋体" w:hAnsi="宋体"/>
          <w:color w:val="auto"/>
          <w:szCs w:val="21"/>
          <w:highlight w:val="none"/>
        </w:rPr>
      </w:r>
      <w:r/>
    </w:p>
    <w:p>
      <w:pPr>
        <w:jc w:val="left"/>
        <w:rPr>
          <w:rFonts w:ascii="宋体" w:hAnsi="宋体"/>
          <w:color w:val="auto"/>
          <w:szCs w:val="21"/>
          <w:highlight w:val="none"/>
        </w:rPr>
      </w:pPr>
      <w:r>
        <w:rPr>
          <w:rFonts w:ascii="宋体" w:hAnsi="宋体"/>
          <w:color w:val="auto"/>
          <w:szCs w:val="21"/>
          <w:highlight w:val="none"/>
        </w:rPr>
      </w:r>
      <w:r/>
    </w:p>
    <w:p>
      <w:pPr>
        <w:jc w:val="left"/>
        <w:rPr>
          <w:rFonts w:ascii="宋体" w:hAnsi="宋体"/>
          <w:color w:val="auto"/>
          <w:szCs w:val="21"/>
          <w:highlight w:val="none"/>
        </w:rPr>
      </w:pPr>
      <w:r>
        <w:rPr>
          <w:rFonts w:ascii="宋体" w:hAnsi="宋体"/>
          <w:color w:val="auto"/>
          <w:szCs w:val="21"/>
          <w:highlight w:val="none"/>
        </w:rPr>
      </w:r>
      <w:r/>
    </w:p>
    <w:p>
      <w:pPr>
        <w:jc w:val="left"/>
        <w:rPr>
          <w:rFonts w:ascii="宋体" w:hAnsi="宋体"/>
          <w:color w:val="auto"/>
          <w:szCs w:val="21"/>
          <w:highlight w:val="none"/>
        </w:rPr>
      </w:pPr>
      <w:r>
        <w:rPr>
          <w:rFonts w:ascii="宋体" w:hAnsi="宋体"/>
          <w:color w:val="auto"/>
          <w:szCs w:val="21"/>
          <w:highlight w:val="none"/>
        </w:rPr>
      </w:r>
      <w:r/>
    </w:p>
    <w:p>
      <w:pPr>
        <w:jc w:val="left"/>
        <w:rPr>
          <w:rFonts w:ascii="宋体" w:hAnsi="宋体"/>
          <w:color w:val="auto"/>
          <w:szCs w:val="21"/>
          <w:highlight w:val="none"/>
        </w:rPr>
      </w:pPr>
      <w:r>
        <w:rPr>
          <w:rFonts w:ascii="宋体" w:hAnsi="宋体"/>
          <w:color w:val="auto"/>
          <w:szCs w:val="21"/>
          <w:highlight w:val="none"/>
        </w:rPr>
      </w:r>
      <w:r/>
    </w:p>
    <w:p>
      <w:pPr>
        <w:spacing w:line="500" w:lineRule="exact"/>
        <w:rPr>
          <w:rFonts w:ascii="宋体" w:hAnsi="宋体"/>
          <w:color w:val="auto"/>
          <w:szCs w:val="21"/>
          <w:highlight w:val="none"/>
        </w:rPr>
      </w:pPr>
      <w:r>
        <w:rPr>
          <w:rFonts w:hint="eastAsia" w:ascii="宋体" w:hAnsi="宋体"/>
          <w:b/>
          <w:color w:val="auto"/>
          <w:szCs w:val="21"/>
          <w:highlight w:val="none"/>
        </w:rPr>
        <w:t xml:space="preserve">注：</w:t>
      </w:r>
      <w:r>
        <w:rPr>
          <w:rFonts w:hint="eastAsia" w:ascii="宋体" w:hAnsi="宋体"/>
          <w:b/>
          <w:bCs/>
          <w:color w:val="auto"/>
          <w:szCs w:val="21"/>
          <w:highlight w:val="none"/>
        </w:rPr>
        <w:t xml:space="preserve">其中各分项报价按照初次响应文件的投标总价与最终承诺报价同比例下浮。</w:t>
      </w:r>
      <w:r/>
    </w:p>
    <w:p>
      <w:pPr>
        <w:rPr>
          <w:rFonts w:ascii="宋体" w:hAnsi="宋体"/>
          <w:b/>
          <w:bCs/>
          <w:color w:val="auto"/>
          <w:szCs w:val="21"/>
          <w:highlight w:val="none"/>
        </w:rPr>
      </w:pPr>
      <w:r>
        <w:rPr>
          <w:rFonts w:hint="eastAsia" w:ascii="宋体" w:hAnsi="宋体"/>
          <w:b/>
          <w:bCs/>
          <w:color w:val="auto"/>
          <w:szCs w:val="21"/>
          <w:highlight w:val="none"/>
        </w:rPr>
        <w:br w:type="page" w:clear="all"/>
      </w:r>
      <w:r/>
    </w:p>
    <w:p>
      <w:pPr>
        <w:rPr>
          <w:rFonts w:ascii="宋体" w:hAnsi="宋体"/>
          <w:color w:val="auto"/>
          <w:szCs w:val="21"/>
          <w:highlight w:val="none"/>
        </w:rPr>
      </w:pPr>
      <w:r>
        <w:rPr>
          <w:rFonts w:hint="eastAsia" w:ascii="宋体" w:hAnsi="宋体"/>
          <w:b/>
          <w:bCs/>
          <w:color w:val="auto"/>
          <w:szCs w:val="21"/>
          <w:highlight w:val="none"/>
        </w:rPr>
        <w:t xml:space="preserve">附件7：</w:t>
      </w:r>
      <w:r>
        <w:rPr>
          <w:rFonts w:hint="eastAsia" w:ascii="宋体" w:hAnsi="宋体"/>
          <w:color w:val="auto"/>
          <w:szCs w:val="21"/>
          <w:highlight w:val="none"/>
        </w:rPr>
        <w:t xml:space="preserve">        </w:t>
      </w:r>
      <w:r/>
    </w:p>
    <w:p>
      <w:pPr>
        <w:rPr>
          <w:rFonts w:ascii="宋体" w:hAnsi="宋体"/>
          <w:color w:val="auto"/>
          <w:szCs w:val="21"/>
          <w:highlight w:val="none"/>
        </w:rPr>
      </w:pPr>
      <w:r>
        <w:rPr>
          <w:rFonts w:hint="eastAsia" w:ascii="宋体" w:hAnsi="宋体"/>
          <w:b/>
          <w:bCs/>
          <w:color w:val="auto"/>
          <w:sz w:val="28"/>
          <w:szCs w:val="28"/>
          <w:highlight w:val="none"/>
        </w:rPr>
        <w:t xml:space="preserve">具备履行合同所必需的设备和专业技术能力的证明材料（格式自定）</w:t>
      </w:r>
      <w:r/>
    </w:p>
    <w:p>
      <w:pPr>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 </w:t>
      </w:r>
      <w:r/>
    </w:p>
    <w:p>
      <w:pPr>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 </w:t>
      </w:r>
      <w:r/>
    </w:p>
    <w:p>
      <w:pPr>
        <w:ind w:firstLine="480"/>
        <w:jc w:val="center"/>
        <w:spacing w:line="360" w:lineRule="auto"/>
        <w:rPr>
          <w:rFonts w:ascii="宋体" w:hAnsi="宋体"/>
          <w:color w:val="auto"/>
          <w:szCs w:val="21"/>
          <w:highlight w:val="none"/>
        </w:rPr>
      </w:pPr>
      <w:r>
        <w:rPr>
          <w:rFonts w:ascii="宋体" w:hAnsi="宋体"/>
          <w:color w:val="auto"/>
          <w:szCs w:val="21"/>
          <w:highlight w:val="none"/>
        </w:rPr>
      </w:r>
      <w:r/>
    </w:p>
    <w:p>
      <w:pPr>
        <w:ind w:firstLine="480"/>
        <w:jc w:val="center"/>
        <w:spacing w:line="360" w:lineRule="auto"/>
        <w:rPr>
          <w:rFonts w:ascii="宋体" w:hAnsi="宋体"/>
          <w:color w:val="auto"/>
          <w:szCs w:val="21"/>
          <w:highlight w:val="none"/>
        </w:rPr>
      </w:pPr>
      <w:r>
        <w:rPr>
          <w:rFonts w:ascii="宋体" w:hAnsi="宋体"/>
          <w:color w:val="auto"/>
          <w:szCs w:val="21"/>
          <w:highlight w:val="none"/>
        </w:rPr>
      </w:r>
      <w:r/>
    </w:p>
    <w:p>
      <w:pPr>
        <w:ind w:firstLine="480"/>
        <w:jc w:val="cente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s="宋体"/>
          <w:color w:val="auto"/>
          <w:sz w:val="28"/>
          <w:szCs w:val="28"/>
          <w:highlight w:val="none"/>
        </w:rPr>
      </w:pPr>
      <w:r/>
      <w:bookmarkStart w:id="176" w:name="_Toc12582"/>
      <w:r/>
      <w:bookmarkEnd w:id="176"/>
      <w:r>
        <w:rPr>
          <w:rFonts w:hint="eastAsia" w:ascii="宋体" w:hAnsi="宋体"/>
          <w:b/>
          <w:bCs/>
          <w:color w:val="auto"/>
          <w:szCs w:val="21"/>
          <w:highlight w:val="none"/>
        </w:rPr>
        <w:t xml:space="preserve">附件8：</w:t>
      </w:r>
      <w:r>
        <w:rPr>
          <w:rFonts w:hint="eastAsia" w:ascii="宋体" w:hAnsi="宋体" w:cs="宋体"/>
          <w:color w:val="auto"/>
          <w:szCs w:val="21"/>
          <w:highlight w:val="none"/>
        </w:rPr>
        <w:t xml:space="preserve"> </w:t>
      </w:r>
      <w:r>
        <w:rPr>
          <w:rFonts w:hint="eastAsia" w:ascii="宋体" w:hAnsi="宋体" w:cs="宋体"/>
          <w:color w:val="auto"/>
          <w:sz w:val="28"/>
          <w:szCs w:val="28"/>
          <w:highlight w:val="none"/>
        </w:rPr>
        <w:t xml:space="preserve"> </w:t>
      </w:r>
      <w:r/>
    </w:p>
    <w:p>
      <w:pPr>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参加政府采购活动前3年内在经营活动中没有重大违法记录的书面声明(参考格式)</w:t>
      </w:r>
      <w:r/>
    </w:p>
    <w:p>
      <w:pPr>
        <w:jc w:val="left"/>
        <w:spacing w:line="420" w:lineRule="exact"/>
        <w:rPr>
          <w:rFonts w:ascii="宋体" w:hAnsi="宋体"/>
          <w:color w:val="auto"/>
          <w:szCs w:val="21"/>
          <w:highlight w:val="none"/>
        </w:rPr>
      </w:pPr>
      <w:r>
        <w:rPr>
          <w:rFonts w:hint="eastAsia" w:ascii="宋体" w:hAnsi="宋体"/>
          <w:color w:val="auto"/>
          <w:szCs w:val="21"/>
          <w:highlight w:val="none"/>
        </w:rPr>
        <w:t xml:space="preserve"> </w:t>
      </w:r>
      <w:r/>
    </w:p>
    <w:p>
      <w:pPr>
        <w:jc w:val="center"/>
        <w:spacing w:line="420" w:lineRule="exact"/>
        <w:rPr>
          <w:rFonts w:ascii="宋体" w:hAnsi="宋体"/>
          <w:b/>
          <w:bCs/>
          <w:color w:val="auto"/>
          <w:szCs w:val="21"/>
          <w:highlight w:val="none"/>
        </w:rPr>
      </w:pPr>
      <w:r>
        <w:rPr>
          <w:rFonts w:hint="eastAsia" w:ascii="宋体" w:hAnsi="宋体"/>
          <w:b/>
          <w:bCs/>
          <w:color w:val="auto"/>
          <w:szCs w:val="21"/>
          <w:highlight w:val="none"/>
        </w:rPr>
        <w:t xml:space="preserve">声 明</w:t>
      </w:r>
      <w:r/>
    </w:p>
    <w:p>
      <w:pPr>
        <w:ind w:firstLine="415"/>
        <w:jc w:val="left"/>
        <w:spacing w:line="420" w:lineRule="exact"/>
        <w:rPr>
          <w:rFonts w:ascii="宋体" w:hAnsi="宋体"/>
          <w:color w:val="auto"/>
          <w:szCs w:val="21"/>
          <w:highlight w:val="none"/>
        </w:rPr>
      </w:pPr>
      <w:r>
        <w:rPr>
          <w:rFonts w:hint="eastAsia" w:ascii="宋体" w:hAnsi="宋体"/>
          <w:color w:val="auto"/>
          <w:szCs w:val="21"/>
          <w:highlight w:val="none"/>
        </w:rPr>
        <w:t xml:space="preserve">我公司郑重声明：参加本次政府采购活动前3年内，我公司在经营活动中没有因违法经营受到刑事处罚或者责令停产停业、吊销许可证或者执照、较大数额罚款等行政处罚。 </w:t>
      </w:r>
      <w:r/>
    </w:p>
    <w:p>
      <w:pPr>
        <w:jc w:val="right"/>
        <w:spacing w:line="420" w:lineRule="exact"/>
        <w:rPr>
          <w:rFonts w:ascii="宋体" w:hAnsi="宋体"/>
          <w:color w:val="auto"/>
          <w:szCs w:val="21"/>
          <w:highlight w:val="none"/>
        </w:rPr>
      </w:pPr>
      <w:r>
        <w:rPr>
          <w:rFonts w:hint="eastAsia" w:ascii="宋体" w:hAnsi="宋体"/>
          <w:color w:val="auto"/>
          <w:szCs w:val="21"/>
          <w:highlight w:val="none"/>
        </w:rPr>
        <w:t xml:space="preserve"> </w:t>
      </w:r>
      <w:r/>
    </w:p>
    <w:p>
      <w:pPr>
        <w:jc w:val="right"/>
        <w:spacing w:line="420" w:lineRule="exact"/>
        <w:rPr>
          <w:rFonts w:ascii="宋体" w:hAnsi="宋体"/>
          <w:color w:val="auto"/>
          <w:szCs w:val="21"/>
          <w:highlight w:val="none"/>
        </w:rPr>
      </w:pPr>
      <w:r>
        <w:rPr>
          <w:rFonts w:hint="eastAsia" w:ascii="宋体" w:hAnsi="宋体"/>
          <w:color w:val="auto"/>
          <w:szCs w:val="21"/>
          <w:highlight w:val="none"/>
        </w:rPr>
        <w:t xml:space="preserve"> </w:t>
      </w:r>
      <w:r/>
    </w:p>
    <w:p>
      <w:pPr>
        <w:jc w:val="right"/>
        <w:spacing w:line="420" w:lineRule="exact"/>
        <w:rPr>
          <w:rFonts w:ascii="宋体" w:hAnsi="宋体"/>
          <w:color w:val="auto"/>
          <w:szCs w:val="21"/>
          <w:highlight w:val="none"/>
        </w:rPr>
      </w:pPr>
      <w:r>
        <w:rPr>
          <w:rFonts w:hint="eastAsia" w:ascii="宋体" w:hAnsi="宋体"/>
          <w:color w:val="auto"/>
          <w:szCs w:val="21"/>
          <w:highlight w:val="none"/>
        </w:rPr>
        <w:t xml:space="preserve"> </w:t>
      </w:r>
      <w:r/>
    </w:p>
    <w:p>
      <w:pPr>
        <w:jc w:val="center"/>
        <w:spacing w:line="420" w:lineRule="exact"/>
        <w:rPr>
          <w:rFonts w:ascii="宋体" w:hAnsi="宋体"/>
          <w:color w:val="auto"/>
          <w:szCs w:val="21"/>
          <w:highlight w:val="none"/>
        </w:rPr>
      </w:pPr>
      <w:r>
        <w:rPr>
          <w:rFonts w:hint="eastAsia" w:ascii="宋体" w:hAnsi="宋体"/>
          <w:color w:val="auto"/>
          <w:szCs w:val="21"/>
          <w:highlight w:val="none"/>
        </w:rPr>
        <w:t xml:space="preserve">                供应商名称（加盖CA电子公章）： </w:t>
      </w:r>
      <w:r/>
    </w:p>
    <w:p>
      <w:pPr>
        <w:jc w:val="right"/>
        <w:spacing w:line="420" w:lineRule="exact"/>
        <w:rPr>
          <w:rFonts w:ascii="宋体" w:hAnsi="宋体"/>
          <w:color w:val="auto"/>
          <w:szCs w:val="21"/>
          <w:highlight w:val="none"/>
        </w:rPr>
      </w:pPr>
      <w:r>
        <w:rPr>
          <w:rFonts w:hint="eastAsia" w:ascii="宋体" w:hAnsi="宋体"/>
          <w:color w:val="auto"/>
          <w:szCs w:val="21"/>
          <w:highlight w:val="none"/>
        </w:rPr>
        <w:t xml:space="preserve"> </w:t>
      </w:r>
      <w:r/>
    </w:p>
    <w:p>
      <w:pPr>
        <w:ind w:right="600" w:firstLine="3675"/>
        <w:jc w:val="left"/>
        <w:spacing w:line="420" w:lineRule="exact"/>
        <w:rPr>
          <w:rFonts w:ascii="宋体" w:hAnsi="宋体"/>
          <w:color w:val="auto"/>
          <w:szCs w:val="21"/>
          <w:highlight w:val="none"/>
        </w:rPr>
      </w:pPr>
      <w:r>
        <w:rPr>
          <w:rFonts w:hint="eastAsia" w:ascii="宋体" w:hAnsi="宋体"/>
          <w:color w:val="auto"/>
          <w:szCs w:val="21"/>
          <w:highlight w:val="none"/>
        </w:rPr>
        <w:t xml:space="preserve">法定代表人（授权代表）签字或盖章： </w:t>
      </w:r>
      <w:r/>
    </w:p>
    <w:p>
      <w:pPr>
        <w:jc w:val="right"/>
        <w:spacing w:line="420" w:lineRule="exact"/>
        <w:rPr>
          <w:rFonts w:ascii="宋体" w:hAnsi="宋体"/>
          <w:color w:val="auto"/>
          <w:szCs w:val="21"/>
          <w:highlight w:val="none"/>
        </w:rPr>
      </w:pPr>
      <w:r>
        <w:rPr>
          <w:rFonts w:hint="eastAsia" w:ascii="宋体" w:hAnsi="宋体"/>
          <w:color w:val="auto"/>
          <w:szCs w:val="21"/>
          <w:highlight w:val="none"/>
        </w:rPr>
        <w:t xml:space="preserve"> </w:t>
      </w:r>
      <w:r/>
    </w:p>
    <w:p>
      <w:pPr>
        <w:jc w:val="right"/>
        <w:spacing w:line="420" w:lineRule="exact"/>
        <w:rPr>
          <w:rFonts w:ascii="宋体" w:hAnsi="宋体"/>
          <w:color w:val="auto"/>
          <w:szCs w:val="21"/>
          <w:highlight w:val="none"/>
        </w:rPr>
      </w:pPr>
      <w:r>
        <w:rPr>
          <w:rFonts w:hint="eastAsia" w:ascii="宋体" w:hAnsi="宋体"/>
          <w:color w:val="auto"/>
          <w:szCs w:val="21"/>
          <w:highlight w:val="none"/>
        </w:rPr>
        <w:t xml:space="preserve"> </w:t>
      </w:r>
      <w:r/>
    </w:p>
    <w:p>
      <w:pPr>
        <w:ind w:firstLine="420"/>
        <w:jc w:val="right"/>
        <w:spacing w:line="420" w:lineRule="exact"/>
        <w:rPr>
          <w:rFonts w:ascii="宋体" w:hAnsi="宋体"/>
          <w:color w:val="auto"/>
          <w:sz w:val="24"/>
          <w:highlight w:val="none"/>
        </w:rPr>
      </w:pPr>
      <w:r>
        <w:rPr>
          <w:rFonts w:hint="eastAsia" w:ascii="宋体" w:hAnsi="宋体"/>
          <w:color w:val="auto"/>
          <w:szCs w:val="21"/>
          <w:highlight w:val="none"/>
        </w:rPr>
        <w:t xml:space="preserve">日    期：       年    月    日 </w:t>
      </w:r>
      <w:r>
        <w:rPr>
          <w:rFonts w:hint="eastAsia" w:ascii="宋体" w:hAnsi="宋体"/>
          <w:color w:val="auto"/>
          <w:sz w:val="24"/>
          <w:highlight w:val="none"/>
        </w:rPr>
        <w:t xml:space="preserve">                       </w:t>
      </w:r>
      <w:r/>
    </w:p>
    <w:p>
      <w:pPr>
        <w:rPr>
          <w:rFonts w:ascii="宋体" w:hAnsi="宋体" w:cs="宋体"/>
          <w:color w:val="auto"/>
          <w:szCs w:val="21"/>
          <w:highlight w:val="none"/>
        </w:rPr>
      </w:pPr>
      <w:r>
        <w:rPr>
          <w:rFonts w:hint="eastAsia" w:ascii="宋体" w:hAnsi="宋体" w:cs="宋体"/>
          <w:color w:val="auto"/>
          <w:szCs w:val="21"/>
          <w:highlight w:val="none"/>
        </w:rPr>
        <w:t xml:space="preserve"> </w:t>
      </w:r>
      <w:r/>
    </w:p>
    <w:p>
      <w:pPr>
        <w:rPr>
          <w:rFonts w:ascii="宋体" w:hAnsi="宋体" w:cs="宋体"/>
          <w:color w:val="auto"/>
          <w:sz w:val="24"/>
          <w:highlight w:val="none"/>
        </w:rPr>
      </w:pPr>
      <w:r>
        <w:rPr>
          <w:rFonts w:hint="eastAsia" w:ascii="宋体" w:hAnsi="宋体" w:cs="宋体"/>
          <w:color w:val="auto"/>
          <w:sz w:val="24"/>
          <w:highlight w:val="none"/>
        </w:rPr>
        <w:t xml:space="preserve"> </w:t>
      </w:r>
      <w:r/>
    </w:p>
    <w:p>
      <w:pPr>
        <w:rPr>
          <w:rFonts w:ascii="宋体" w:hAnsi="宋体" w:cs="宋体"/>
          <w:color w:val="auto"/>
          <w:sz w:val="24"/>
          <w:highlight w:val="none"/>
        </w:rPr>
      </w:pPr>
      <w:r>
        <w:rPr>
          <w:rFonts w:hint="eastAsia" w:ascii="宋体" w:hAnsi="宋体" w:cs="宋体"/>
          <w:color w:val="auto"/>
          <w:sz w:val="24"/>
          <w:highlight w:val="none"/>
        </w:rPr>
        <w:t xml:space="preserve"> </w:t>
      </w:r>
      <w:r/>
    </w:p>
    <w:p>
      <w:pPr>
        <w:rPr>
          <w:rFonts w:ascii="宋体" w:hAnsi="宋体" w:cs="宋体"/>
          <w:color w:val="auto"/>
          <w:sz w:val="24"/>
          <w:highlight w:val="none"/>
        </w:rPr>
      </w:pPr>
      <w:r>
        <w:rPr>
          <w:rFonts w:hint="eastAsia" w:ascii="宋体" w:hAnsi="宋体" w:cs="宋体"/>
          <w:color w:val="auto"/>
          <w:sz w:val="24"/>
          <w:highlight w:val="none"/>
        </w:rPr>
        <w:t xml:space="preserve"> </w:t>
      </w:r>
      <w:r/>
    </w:p>
    <w:p>
      <w:pPr>
        <w:rPr>
          <w:rFonts w:ascii="宋体" w:hAnsi="宋体" w:cs="宋体"/>
          <w:color w:val="auto"/>
          <w:sz w:val="24"/>
          <w:highlight w:val="none"/>
        </w:rPr>
      </w:pPr>
      <w:r>
        <w:rPr>
          <w:rFonts w:hint="eastAsia" w:ascii="宋体" w:hAnsi="宋体" w:cs="宋体"/>
          <w:color w:val="auto"/>
          <w:sz w:val="24"/>
          <w:highlight w:val="none"/>
        </w:rPr>
        <w:t xml:space="preserve"> </w:t>
      </w:r>
      <w:r/>
    </w:p>
    <w:p>
      <w:pPr>
        <w:rPr>
          <w:rFonts w:ascii="宋体" w:hAnsi="宋体" w:cs="宋体"/>
          <w:color w:val="auto"/>
          <w:sz w:val="24"/>
          <w:highlight w:val="none"/>
        </w:rPr>
      </w:pPr>
      <w:r>
        <w:rPr>
          <w:rFonts w:hint="eastAsia" w:ascii="宋体" w:hAnsi="宋体" w:cs="宋体"/>
          <w:color w:val="auto"/>
          <w:sz w:val="24"/>
          <w:highlight w:val="none"/>
        </w:rPr>
        <w:t xml:space="preserve"> </w:t>
      </w:r>
      <w:r/>
    </w:p>
    <w:p>
      <w:pPr>
        <w:rPr>
          <w:rFonts w:hint="eastAsia" w:ascii="宋体" w:hAnsi="宋体" w:cs="宋体"/>
          <w:color w:val="auto"/>
          <w:sz w:val="24"/>
          <w:szCs w:val="24"/>
          <w:highlight w:val="none"/>
        </w:rPr>
      </w:pPr>
      <w:r>
        <w:rPr>
          <w:rFonts w:hint="eastAsia" w:ascii="宋体" w:hAnsi="宋体" w:cs="宋体"/>
          <w:color w:val="auto"/>
          <w:sz w:val="24"/>
          <w:highlight w:val="none"/>
        </w:rPr>
        <w:t xml:space="preserve"> </w:t>
      </w:r>
      <w:r/>
    </w:p>
    <w:p>
      <w:pPr>
        <w:rPr>
          <w:rFonts w:ascii="宋体" w:hAnsi="宋体" w:cs="宋体"/>
          <w:color w:val="auto"/>
          <w:sz w:val="24"/>
          <w:szCs w:val="24"/>
          <w:highlight w:val="none"/>
        </w:rPr>
      </w:pPr>
      <w:r>
        <w:rPr>
          <w:rFonts w:ascii="宋体" w:hAnsi="宋体" w:cs="宋体"/>
          <w:color w:val="auto"/>
          <w:sz w:val="24"/>
          <w:szCs w:val="24"/>
          <w:highlight w:val="none"/>
        </w:rPr>
      </w: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rPr>
          <w:rFonts w:ascii="宋体" w:hAnsi="宋体" w:cs="宋体"/>
          <w:color w:val="auto"/>
          <w:sz w:val="24"/>
          <w:szCs w:val="24"/>
          <w:highlight w:val="none"/>
        </w:rPr>
      </w:r>
      <w:r/>
    </w:p>
    <w:p>
      <w:pPr>
        <w:rPr>
          <w:rFonts w:ascii="宋体" w:hAnsi="宋体" w:cs="宋体"/>
          <w:color w:val="auto"/>
          <w:sz w:val="24"/>
          <w:szCs w:val="24"/>
          <w:highlight w:val="none"/>
        </w:rPr>
      </w:pPr>
      <w:r>
        <w:rPr>
          <w:rFonts w:hint="eastAsia" w:ascii="宋体" w:hAnsi="宋体" w:cs="宋体"/>
          <w:color w:val="auto"/>
          <w:sz w:val="24"/>
          <w:highlight w:val="none"/>
        </w:rPr>
      </w:r>
      <w:r>
        <w:rPr>
          <w:rFonts w:hint="eastAsia" w:ascii="宋体" w:hAnsi="宋体" w:cs="宋体"/>
          <w:color w:val="auto"/>
          <w:sz w:val="24"/>
          <w:highlight w:val="none"/>
        </w:rPr>
      </w:r>
      <w:r/>
    </w:p>
    <w:p>
      <w:pPr>
        <w:rPr>
          <w:rFonts w:ascii="宋体" w:hAnsi="宋体" w:cs="宋体"/>
          <w:color w:val="auto"/>
          <w:sz w:val="24"/>
          <w:highlight w:val="none"/>
        </w:rPr>
      </w:pPr>
      <w:r>
        <w:rPr>
          <w:rFonts w:hint="eastAsia" w:ascii="宋体" w:hAnsi="宋体" w:cs="宋体"/>
          <w:color w:val="auto"/>
          <w:sz w:val="24"/>
          <w:highlight w:val="none"/>
        </w:rPr>
        <w:t xml:space="preserve"> </w:t>
      </w:r>
      <w:r/>
    </w:p>
    <w:p>
      <w:pPr>
        <w:pStyle w:val="1174"/>
        <w:rPr>
          <w:color w:val="auto"/>
          <w:highlight w:val="none"/>
        </w:rPr>
      </w:pPr>
      <w:r>
        <w:rPr>
          <w:color w:val="auto"/>
          <w:highlight w:val="none"/>
        </w:rPr>
      </w:r>
      <w:r/>
    </w:p>
    <w:p>
      <w:pPr>
        <w:spacing w:line="440" w:lineRule="exact"/>
        <w:rPr>
          <w:rFonts w:ascii="宋体" w:hAnsi="宋体"/>
          <w:b/>
          <w:bCs/>
          <w:color w:val="auto"/>
          <w:szCs w:val="21"/>
          <w:highlight w:val="none"/>
        </w:rPr>
        <w:outlineLvl w:val="0"/>
      </w:pPr>
      <w:r/>
      <w:bookmarkStart w:id="177" w:name="_Toc8291"/>
      <w:r/>
      <w:bookmarkEnd w:id="177"/>
      <w:r>
        <w:rPr>
          <w:rFonts w:hint="eastAsia" w:ascii="宋体" w:hAnsi="宋体"/>
          <w:b/>
          <w:bCs/>
          <w:color w:val="auto"/>
          <w:szCs w:val="21"/>
          <w:highlight w:val="none"/>
        </w:rPr>
        <w:t xml:space="preserve">附件</w:t>
      </w:r>
      <w:bookmarkStart w:id="178" w:name="_Toc528398513"/>
      <w:r/>
      <w:bookmarkEnd w:id="178"/>
      <w:r>
        <w:rPr>
          <w:rFonts w:hint="eastAsia" w:ascii="宋体" w:hAnsi="宋体"/>
          <w:b/>
          <w:bCs/>
          <w:color w:val="auto"/>
          <w:szCs w:val="21"/>
          <w:highlight w:val="none"/>
        </w:rPr>
        <w:t xml:space="preserve">9：</w:t>
      </w:r>
      <w:r/>
    </w:p>
    <w:p>
      <w:pPr>
        <w:jc w:val="center"/>
        <w:spacing w:line="440" w:lineRule="exact"/>
        <w:rPr>
          <w:rFonts w:ascii="宋体" w:hAnsi="宋体" w:cs="宋体"/>
          <w:b/>
          <w:bCs/>
          <w:color w:val="auto"/>
          <w:sz w:val="28"/>
          <w:szCs w:val="28"/>
          <w:highlight w:val="none"/>
        </w:rPr>
        <w:outlineLvl w:val="0"/>
      </w:pPr>
      <w:r>
        <w:rPr>
          <w:rFonts w:hint="eastAsia" w:ascii="宋体" w:hAnsi="宋体" w:cs="宋体"/>
          <w:b/>
          <w:bCs/>
          <w:color w:val="auto"/>
          <w:sz w:val="28"/>
          <w:szCs w:val="28"/>
          <w:highlight w:val="none"/>
        </w:rPr>
        <w:t xml:space="preserve">中小企业声明函</w:t>
      </w:r>
      <w:r/>
    </w:p>
    <w:p>
      <w:pPr>
        <w:ind w:firstLine="645"/>
        <w:rPr>
          <w:rFonts w:ascii="宋体" w:hAnsi="宋体"/>
          <w:color w:val="auto"/>
          <w:sz w:val="32"/>
          <w:szCs w:val="32"/>
          <w:highlight w:val="none"/>
        </w:rPr>
      </w:pPr>
      <w:r>
        <w:rPr>
          <w:rFonts w:ascii="宋体" w:hAnsi="宋体"/>
          <w:color w:val="auto"/>
          <w:sz w:val="32"/>
          <w:szCs w:val="32"/>
          <w:highlight w:val="none"/>
        </w:rPr>
      </w:r>
      <w:r/>
    </w:p>
    <w:p>
      <w:pPr>
        <w:ind w:firstLine="720"/>
        <w:jc w:val="left"/>
        <w:spacing w:line="480" w:lineRule="auto"/>
        <w:rPr>
          <w:rFonts w:eastAsia="仿宋"/>
          <w:color w:val="auto"/>
          <w:sz w:val="24"/>
          <w:highlight w:val="none"/>
        </w:rPr>
      </w:pPr>
      <w:r>
        <w:rPr>
          <w:rFonts w:hAnsi="仿宋" w:eastAsia="仿宋"/>
          <w:color w:val="auto"/>
          <w:sz w:val="24"/>
          <w:highlight w:val="none"/>
        </w:rPr>
        <w:t xml:space="preserve">本公司</w:t>
      </w:r>
      <w:r>
        <w:rPr>
          <w:rFonts w:hint="eastAsia" w:hAnsi="仿宋" w:eastAsia="仿宋"/>
          <w:color w:val="auto"/>
          <w:sz w:val="24"/>
          <w:highlight w:val="none"/>
        </w:rPr>
        <w:t xml:space="preserve">（联合体）</w:t>
      </w:r>
      <w:r>
        <w:rPr>
          <w:rFonts w:hAnsi="仿宋" w:eastAsia="仿宋"/>
          <w:color w:val="auto"/>
          <w:sz w:val="24"/>
          <w:highlight w:val="none"/>
        </w:rPr>
        <w:t xml:space="preserve">郑重声明，根据《政府采购促进中小企业发展管理办法》（财库﹝</w:t>
      </w:r>
      <w:r>
        <w:rPr>
          <w:rFonts w:eastAsia="仿宋"/>
          <w:color w:val="auto"/>
          <w:sz w:val="24"/>
          <w:highlight w:val="none"/>
        </w:rPr>
        <w:t xml:space="preserve">2020</w:t>
      </w:r>
      <w:r>
        <w:rPr>
          <w:rFonts w:hAnsi="仿宋" w:eastAsia="仿宋"/>
          <w:color w:val="auto"/>
          <w:sz w:val="24"/>
          <w:highlight w:val="none"/>
        </w:rPr>
        <w:t xml:space="preserve">﹞</w:t>
      </w:r>
      <w:r>
        <w:rPr>
          <w:rFonts w:eastAsia="仿宋"/>
          <w:color w:val="auto"/>
          <w:sz w:val="24"/>
          <w:highlight w:val="none"/>
        </w:rPr>
        <w:t xml:space="preserve">46 </w:t>
      </w:r>
      <w:r>
        <w:rPr>
          <w:rFonts w:hAnsi="仿宋" w:eastAsia="仿宋"/>
          <w:color w:val="auto"/>
          <w:sz w:val="24"/>
          <w:highlight w:val="none"/>
        </w:rPr>
        <w:t xml:space="preserve">号）的规定，本公司</w:t>
      </w:r>
      <w:r>
        <w:rPr>
          <w:rFonts w:hint="eastAsia" w:hAnsi="仿宋" w:eastAsia="仿宋"/>
          <w:color w:val="auto"/>
          <w:sz w:val="24"/>
          <w:highlight w:val="none"/>
        </w:rPr>
        <w:t xml:space="preserve">(联合体)</w:t>
      </w:r>
      <w:r>
        <w:rPr>
          <w:rFonts w:hAnsi="仿宋" w:eastAsia="仿宋"/>
          <w:color w:val="auto"/>
          <w:sz w:val="24"/>
          <w:highlight w:val="none"/>
        </w:rPr>
        <w:t xml:space="preserve">参加</w:t>
      </w:r>
      <w:r>
        <w:rPr>
          <w:rFonts w:hAnsi="仿宋" w:eastAsia="仿宋"/>
          <w:color w:val="auto"/>
          <w:sz w:val="24"/>
          <w:highlight w:val="none"/>
          <w:u w:val="single"/>
        </w:rPr>
        <w:t xml:space="preserve">（单位名称）</w:t>
      </w:r>
      <w:r>
        <w:rPr>
          <w:rFonts w:hAnsi="仿宋" w:eastAsia="仿宋"/>
          <w:color w:val="auto"/>
          <w:sz w:val="24"/>
          <w:highlight w:val="none"/>
        </w:rPr>
        <w:t xml:space="preserve">的</w:t>
      </w:r>
      <w:r>
        <w:rPr>
          <w:rFonts w:hAnsi="仿宋" w:eastAsia="仿宋"/>
          <w:color w:val="auto"/>
          <w:sz w:val="24"/>
          <w:highlight w:val="none"/>
          <w:u w:val="single"/>
        </w:rPr>
        <w:t xml:space="preserve">（项目名称）</w:t>
      </w:r>
      <w:r>
        <w:rPr>
          <w:rFonts w:hAnsi="仿宋" w:eastAsia="仿宋"/>
          <w:color w:val="auto"/>
          <w:sz w:val="24"/>
          <w:highlight w:val="none"/>
        </w:rPr>
        <w:t xml:space="preserve">采购活动，服务全部由符合政策要求的中小企业承接。相关企业（含联合体中的中小企业、签订分包意向协议的中小企业）的具体情况如下：</w:t>
      </w:r>
      <w:r/>
    </w:p>
    <w:p>
      <w:pPr>
        <w:ind w:firstLine="480"/>
        <w:jc w:val="left"/>
        <w:spacing w:line="480" w:lineRule="auto"/>
        <w:rPr>
          <w:rFonts w:eastAsia="仿宋"/>
          <w:color w:val="auto"/>
          <w:sz w:val="24"/>
          <w:highlight w:val="none"/>
          <w:u w:val="single"/>
        </w:rPr>
      </w:pPr>
      <w:r>
        <w:rPr>
          <w:rFonts w:eastAsia="仿宋"/>
          <w:color w:val="auto"/>
          <w:sz w:val="24"/>
          <w:highlight w:val="none"/>
        </w:rPr>
        <w:t xml:space="preserve">1. </w:t>
      </w:r>
      <w:r>
        <w:rPr>
          <w:rFonts w:hAnsi="仿宋" w:eastAsia="仿宋"/>
          <w:color w:val="auto"/>
          <w:sz w:val="24"/>
          <w:highlight w:val="none"/>
          <w:u w:val="single"/>
        </w:rPr>
        <w:t xml:space="preserve">（标的名称）</w:t>
      </w:r>
      <w:r>
        <w:rPr>
          <w:rFonts w:hAnsi="仿宋" w:eastAsia="仿宋"/>
          <w:color w:val="auto"/>
          <w:sz w:val="24"/>
          <w:highlight w:val="none"/>
        </w:rPr>
        <w:t xml:space="preserve">，属于</w:t>
      </w:r>
      <w:r>
        <w:rPr>
          <w:rFonts w:hAnsi="仿宋" w:eastAsia="仿宋"/>
          <w:color w:val="auto"/>
          <w:sz w:val="24"/>
          <w:highlight w:val="none"/>
          <w:u w:val="single"/>
        </w:rPr>
        <w:t xml:space="preserve">（采购文件中明确的所属行业）</w:t>
      </w:r>
      <w:r>
        <w:rPr>
          <w:rFonts w:hAnsi="仿宋" w:eastAsia="仿宋"/>
          <w:color w:val="auto"/>
          <w:sz w:val="24"/>
          <w:highlight w:val="none"/>
        </w:rPr>
        <w:t xml:space="preserve">；承建（承接）企业为</w:t>
      </w:r>
      <w:r>
        <w:rPr>
          <w:rFonts w:hAnsi="仿宋" w:eastAsia="仿宋"/>
          <w:color w:val="auto"/>
          <w:sz w:val="24"/>
          <w:highlight w:val="none"/>
          <w:u w:val="single"/>
        </w:rPr>
        <w:t xml:space="preserve">（企业名称）</w:t>
      </w:r>
      <w:r>
        <w:rPr>
          <w:rFonts w:hAnsi="仿宋" w:eastAsia="仿宋"/>
          <w:color w:val="auto"/>
          <w:sz w:val="24"/>
          <w:highlight w:val="none"/>
        </w:rPr>
        <w:t xml:space="preserve">，从业人员</w:t>
      </w:r>
      <w:r>
        <w:rPr>
          <w:rFonts w:hint="eastAsia" w:hAnsi="仿宋" w:eastAsia="仿宋"/>
          <w:color w:val="auto"/>
          <w:sz w:val="24"/>
          <w:highlight w:val="none"/>
          <w:u w:val="single"/>
        </w:rPr>
        <w:t xml:space="preserve">    </w:t>
      </w:r>
      <w:r>
        <w:rPr>
          <w:rFonts w:hAnsi="仿宋" w:eastAsia="仿宋"/>
          <w:color w:val="auto"/>
          <w:sz w:val="24"/>
          <w:highlight w:val="none"/>
        </w:rPr>
        <w:t xml:space="preserve">人，营业收入为</w:t>
      </w:r>
      <w:r>
        <w:rPr>
          <w:rFonts w:hint="eastAsia" w:hAnsi="仿宋" w:eastAsia="仿宋"/>
          <w:color w:val="auto"/>
          <w:sz w:val="24"/>
          <w:highlight w:val="none"/>
          <w:u w:val="single"/>
        </w:rPr>
        <w:t xml:space="preserve">    </w:t>
      </w:r>
      <w:r>
        <w:rPr>
          <w:rFonts w:hAnsi="仿宋" w:eastAsia="仿宋"/>
          <w:color w:val="auto"/>
          <w:sz w:val="24"/>
          <w:highlight w:val="none"/>
        </w:rPr>
        <w:t xml:space="preserve">万元，资产总额为</w:t>
      </w:r>
      <w:r>
        <w:rPr>
          <w:rFonts w:hint="eastAsia" w:hAnsi="仿宋" w:eastAsia="仿宋"/>
          <w:color w:val="auto"/>
          <w:sz w:val="24"/>
          <w:highlight w:val="none"/>
          <w:u w:val="single"/>
        </w:rPr>
        <w:t xml:space="preserve">    </w:t>
      </w:r>
      <w:r>
        <w:rPr>
          <w:rFonts w:hAnsi="仿宋" w:eastAsia="仿宋"/>
          <w:color w:val="auto"/>
          <w:sz w:val="24"/>
          <w:highlight w:val="none"/>
        </w:rPr>
        <w:t xml:space="preserve">万元</w:t>
      </w:r>
      <w:r>
        <w:rPr>
          <w:rFonts w:hint="eastAsia" w:hAnsi="仿宋" w:eastAsia="仿宋"/>
          <w:color w:val="auto"/>
          <w:sz w:val="24"/>
          <w:highlight w:val="none"/>
          <w:vertAlign w:val="superscript"/>
        </w:rPr>
        <w:t xml:space="preserve">1</w:t>
      </w:r>
      <w:r>
        <w:rPr>
          <w:rFonts w:hAnsi="仿宋" w:eastAsia="仿宋"/>
          <w:color w:val="auto"/>
          <w:sz w:val="24"/>
          <w:highlight w:val="none"/>
        </w:rPr>
        <w:t xml:space="preserve">，属于</w:t>
      </w:r>
      <w:r>
        <w:rPr>
          <w:rFonts w:hAnsi="仿宋" w:eastAsia="仿宋"/>
          <w:color w:val="auto"/>
          <w:sz w:val="24"/>
          <w:highlight w:val="none"/>
          <w:u w:val="single"/>
        </w:rPr>
        <w:t xml:space="preserve">（中型企业、小型企业、微型企业）</w:t>
      </w:r>
      <w:r>
        <w:rPr>
          <w:rFonts w:hAnsi="仿宋" w:eastAsia="仿宋"/>
          <w:color w:val="auto"/>
          <w:sz w:val="24"/>
          <w:highlight w:val="none"/>
        </w:rPr>
        <w:t xml:space="preserve">；</w:t>
      </w:r>
      <w:r/>
    </w:p>
    <w:p>
      <w:pPr>
        <w:ind w:firstLine="480"/>
        <w:jc w:val="left"/>
        <w:spacing w:line="480" w:lineRule="auto"/>
        <w:rPr>
          <w:rFonts w:eastAsia="仿宋"/>
          <w:color w:val="auto"/>
          <w:sz w:val="24"/>
          <w:highlight w:val="none"/>
        </w:rPr>
      </w:pPr>
      <w:r>
        <w:rPr>
          <w:rFonts w:hAnsi="仿宋" w:eastAsia="仿宋"/>
          <w:color w:val="auto"/>
          <w:sz w:val="24"/>
          <w:highlight w:val="none"/>
        </w:rPr>
        <w:t xml:space="preserve">以上企业，不属于大企业的分支机构，不存在控股股东为大企业的情形，也不存在与大企业的负责人为同一人的情形。</w:t>
      </w:r>
      <w:r/>
    </w:p>
    <w:p>
      <w:pPr>
        <w:ind w:firstLine="480"/>
        <w:jc w:val="left"/>
        <w:spacing w:line="480" w:lineRule="auto"/>
        <w:rPr>
          <w:rFonts w:eastAsia="仿宋"/>
          <w:color w:val="auto"/>
          <w:sz w:val="24"/>
          <w:highlight w:val="none"/>
        </w:rPr>
      </w:pPr>
      <w:r>
        <w:rPr>
          <w:rFonts w:hAnsi="仿宋" w:eastAsia="仿宋"/>
          <w:color w:val="auto"/>
          <w:sz w:val="24"/>
          <w:highlight w:val="none"/>
        </w:rPr>
        <w:t xml:space="preserve">本企业对上述声明内容的真实性负责。如有虚假，将依法承担相应责任。</w:t>
      </w:r>
      <w:r/>
    </w:p>
    <w:p>
      <w:pPr>
        <w:jc w:val="left"/>
        <w:spacing w:line="480" w:lineRule="auto"/>
        <w:rPr>
          <w:rFonts w:eastAsia="仿宋"/>
          <w:color w:val="auto"/>
          <w:sz w:val="24"/>
          <w:highlight w:val="none"/>
        </w:rPr>
      </w:pPr>
      <w:r>
        <w:rPr>
          <w:rFonts w:eastAsia="仿宋"/>
          <w:color w:val="auto"/>
          <w:sz w:val="24"/>
          <w:highlight w:val="none"/>
        </w:rPr>
      </w:r>
      <w:r/>
    </w:p>
    <w:p>
      <w:pPr>
        <w:ind w:firstLine="3840"/>
        <w:jc w:val="left"/>
        <w:spacing w:line="480" w:lineRule="auto"/>
        <w:rPr>
          <w:rFonts w:eastAsia="仿宋"/>
          <w:color w:val="auto"/>
          <w:sz w:val="24"/>
          <w:highlight w:val="none"/>
        </w:rPr>
      </w:pPr>
      <w:r>
        <w:rPr>
          <w:rFonts w:hAnsi="仿宋" w:eastAsia="仿宋"/>
          <w:color w:val="auto"/>
          <w:sz w:val="24"/>
          <w:highlight w:val="none"/>
        </w:rPr>
        <w:t xml:space="preserve">企业名称（</w:t>
      </w:r>
      <w:r>
        <w:rPr>
          <w:rFonts w:hint="eastAsia" w:ascii="宋体" w:hAnsi="宋体"/>
          <w:color w:val="auto"/>
          <w:szCs w:val="21"/>
          <w:highlight w:val="none"/>
        </w:rPr>
        <w:t xml:space="preserve">加盖CA电子公章</w:t>
      </w:r>
      <w:r>
        <w:rPr>
          <w:rFonts w:hAnsi="仿宋" w:eastAsia="仿宋"/>
          <w:color w:val="auto"/>
          <w:sz w:val="24"/>
          <w:highlight w:val="none"/>
        </w:rPr>
        <w:t xml:space="preserve">）：</w:t>
      </w:r>
      <w:r/>
    </w:p>
    <w:p>
      <w:pPr>
        <w:jc w:val="center"/>
        <w:spacing w:line="480" w:lineRule="auto"/>
        <w:rPr>
          <w:rFonts w:hAnsi="仿宋" w:eastAsia="仿宋"/>
          <w:color w:val="auto"/>
          <w:sz w:val="24"/>
          <w:highlight w:val="none"/>
        </w:rPr>
      </w:pPr>
      <w:r>
        <w:rPr>
          <w:rFonts w:hAnsi="仿宋" w:eastAsia="仿宋"/>
          <w:color w:val="auto"/>
          <w:sz w:val="24"/>
          <w:highlight w:val="none"/>
        </w:rPr>
        <w:t xml:space="preserve">日期：</w:t>
      </w:r>
      <w:r/>
    </w:p>
    <w:p>
      <w:pPr>
        <w:ind w:firstLine="480"/>
        <w:spacing w:line="320" w:lineRule="exact"/>
        <w:rPr>
          <w:rFonts w:hAnsi="仿宋" w:eastAsia="仿宋"/>
          <w:color w:val="auto"/>
          <w:sz w:val="24"/>
          <w:highlight w:val="none"/>
        </w:rPr>
      </w:pPr>
      <w:r>
        <w:rPr>
          <w:rFonts w:hint="eastAsia" w:hAnsi="仿宋" w:eastAsia="仿宋"/>
          <w:color w:val="auto"/>
          <w:sz w:val="24"/>
          <w:highlight w:val="none"/>
        </w:rPr>
        <w:t xml:space="preserve">（备注：</w:t>
      </w:r>
      <w:r>
        <w:rPr>
          <w:rFonts w:hAnsi="仿宋" w:eastAsia="仿宋"/>
          <w:color w:val="auto"/>
          <w:sz w:val="24"/>
          <w:highlight w:val="none"/>
        </w:rPr>
        <w:t xml:space="preserve">1</w:t>
      </w:r>
      <w:r>
        <w:rPr>
          <w:rFonts w:hint="eastAsia" w:hAnsi="仿宋" w:eastAsia="仿宋"/>
          <w:color w:val="auto"/>
          <w:sz w:val="24"/>
          <w:highlight w:val="none"/>
        </w:rPr>
        <w:t xml:space="preserve">、参照《关于印发中小企业划型标准规定的通知》（工信部联企业〔2011〕300号）文件，</w:t>
      </w:r>
      <w:r>
        <w:rPr>
          <w:rFonts w:hAnsi="仿宋" w:eastAsia="仿宋"/>
          <w:color w:val="auto"/>
          <w:sz w:val="24"/>
          <w:highlight w:val="none"/>
        </w:rPr>
        <w:t xml:space="preserve">本项目所属行业为</w:t>
      </w:r>
      <w:r>
        <w:rPr>
          <w:rFonts w:ascii="宋体" w:hAnsi="宋体" w:cs="宋体"/>
          <w:color w:val="auto"/>
          <w:sz w:val="24"/>
          <w:highlight w:val="none"/>
          <w:u w:val="single"/>
        </w:rPr>
        <w:t xml:space="preserve">软件和信息技术服务业</w:t>
      </w:r>
      <w:r>
        <w:rPr>
          <w:rFonts w:hint="eastAsia" w:hAnsi="仿宋" w:eastAsia="仿宋"/>
          <w:color w:val="auto"/>
          <w:sz w:val="24"/>
          <w:highlight w:val="none"/>
        </w:rPr>
        <w:t xml:space="preserve">。2、请如实填写属于</w:t>
      </w:r>
      <w:r>
        <w:rPr>
          <w:rFonts w:hAnsi="仿宋" w:eastAsia="仿宋"/>
          <w:color w:val="auto"/>
          <w:sz w:val="24"/>
          <w:highlight w:val="none"/>
        </w:rPr>
        <w:t xml:space="preserve">中型企业</w:t>
      </w:r>
      <w:r>
        <w:rPr>
          <w:rFonts w:hint="eastAsia" w:hAnsi="仿宋" w:eastAsia="仿宋"/>
          <w:color w:val="auto"/>
          <w:sz w:val="24"/>
          <w:highlight w:val="none"/>
        </w:rPr>
        <w:t xml:space="preserve">或</w:t>
      </w:r>
      <w:r>
        <w:rPr>
          <w:rFonts w:hAnsi="仿宋" w:eastAsia="仿宋"/>
          <w:color w:val="auto"/>
          <w:sz w:val="24"/>
          <w:highlight w:val="none"/>
        </w:rPr>
        <w:t xml:space="preserve">小型企业</w:t>
      </w:r>
      <w:r>
        <w:rPr>
          <w:rFonts w:hint="eastAsia" w:hAnsi="仿宋" w:eastAsia="仿宋"/>
          <w:color w:val="auto"/>
          <w:sz w:val="24"/>
          <w:highlight w:val="none"/>
        </w:rPr>
        <w:t xml:space="preserve">或</w:t>
      </w:r>
      <w:r>
        <w:rPr>
          <w:rFonts w:hAnsi="仿宋" w:eastAsia="仿宋"/>
          <w:color w:val="auto"/>
          <w:sz w:val="24"/>
          <w:highlight w:val="none"/>
        </w:rPr>
        <w:t xml:space="preserve">微型企业</w:t>
      </w:r>
      <w:r>
        <w:rPr>
          <w:rFonts w:hint="eastAsia" w:hAnsi="仿宋" w:eastAsia="仿宋"/>
          <w:color w:val="auto"/>
          <w:sz w:val="24"/>
          <w:highlight w:val="none"/>
        </w:rPr>
        <w:t xml:space="preserve">。3、</w:t>
      </w:r>
      <w:r>
        <w:rPr>
          <w:rFonts w:hint="eastAsia" w:hAnsi="仿宋" w:eastAsia="仿宋"/>
          <w:color w:val="auto"/>
          <w:sz w:val="24"/>
          <w:highlight w:val="none"/>
          <w:vertAlign w:val="superscript"/>
        </w:rPr>
        <w:t xml:space="preserve">1</w:t>
      </w:r>
      <w:r>
        <w:rPr>
          <w:rFonts w:hint="eastAsia" w:hAnsi="仿宋" w:eastAsia="仿宋"/>
          <w:color w:val="auto"/>
          <w:sz w:val="24"/>
          <w:highlight w:val="none"/>
        </w:rPr>
        <w:t xml:space="preserve">从业人员、营业收入、资产总额填报上一年度数据，无上一年度数据的新成立企业可不填报。）</w:t>
      </w:r>
      <w:r/>
    </w:p>
    <w:p>
      <w:pPr>
        <w:rPr>
          <w:color w:val="auto"/>
          <w:highlight w:val="none"/>
        </w:rPr>
      </w:pPr>
      <w:r>
        <w:rPr>
          <w:color w:val="auto"/>
          <w:highlight w:val="none"/>
        </w:rPr>
      </w:r>
      <w:r/>
    </w:p>
    <w:p>
      <w:pPr>
        <w:rPr>
          <w:rFonts w:ascii="宋体" w:hAnsi="宋体" w:cs="宋体"/>
          <w:color w:val="auto"/>
          <w:szCs w:val="21"/>
          <w:highlight w:val="none"/>
        </w:rPr>
      </w:pPr>
      <w:r>
        <w:rPr>
          <w:rFonts w:hint="eastAsia" w:ascii="宋体" w:hAnsi="宋体" w:cs="宋体"/>
          <w:color w:val="auto"/>
          <w:szCs w:val="21"/>
          <w:highlight w:val="none"/>
        </w:rPr>
        <w:t xml:space="preserve"> </w:t>
      </w:r>
      <w:r/>
    </w:p>
    <w:p>
      <w:pPr>
        <w:rPr>
          <w:rFonts w:ascii="宋体" w:hAnsi="宋体"/>
          <w:color w:val="auto"/>
          <w:sz w:val="32"/>
          <w:szCs w:val="32"/>
          <w:highlight w:val="none"/>
        </w:rPr>
      </w:pPr>
      <w:r>
        <w:rPr>
          <w:rFonts w:hint="eastAsia" w:ascii="宋体" w:hAnsi="宋体" w:cs="宋体"/>
          <w:color w:val="auto"/>
          <w:szCs w:val="21"/>
          <w:highlight w:val="none"/>
        </w:rPr>
        <w:t xml:space="preserve"> </w:t>
      </w:r>
      <w:r/>
    </w:p>
    <w:p>
      <w:pPr>
        <w:ind w:firstLine="645"/>
        <w:rPr>
          <w:rFonts w:ascii="宋体" w:hAnsi="宋体"/>
          <w:color w:val="auto"/>
          <w:sz w:val="32"/>
          <w:szCs w:val="32"/>
          <w:highlight w:val="none"/>
        </w:rPr>
      </w:pPr>
      <w:r>
        <w:rPr>
          <w:rFonts w:hint="eastAsia" w:ascii="宋体" w:hAnsi="宋体"/>
          <w:color w:val="auto"/>
          <w:sz w:val="32"/>
          <w:szCs w:val="32"/>
          <w:highlight w:val="none"/>
        </w:rPr>
        <w:t xml:space="preserve"> </w:t>
      </w:r>
      <w:r/>
    </w:p>
    <w:p>
      <w:pPr>
        <w:pStyle w:val="1161"/>
        <w:rPr>
          <w:rFonts w:ascii="宋体" w:hAnsi="宋体" w:eastAsia="宋体"/>
          <w:color w:val="auto"/>
          <w:szCs w:val="32"/>
          <w:highlight w:val="none"/>
        </w:rPr>
      </w:pPr>
      <w:r>
        <w:rPr>
          <w:rFonts w:ascii="宋体" w:hAnsi="宋体" w:eastAsia="宋体"/>
          <w:color w:val="auto"/>
          <w:szCs w:val="32"/>
          <w:highlight w:val="none"/>
        </w:rPr>
      </w:r>
      <w:r/>
    </w:p>
    <w:p>
      <w:pPr>
        <w:pStyle w:val="1161"/>
        <w:rPr>
          <w:rFonts w:ascii="宋体" w:hAnsi="宋体" w:eastAsia="宋体"/>
          <w:color w:val="auto"/>
          <w:szCs w:val="32"/>
          <w:highlight w:val="none"/>
        </w:rPr>
      </w:pPr>
      <w:r>
        <w:rPr>
          <w:rFonts w:ascii="宋体" w:hAnsi="宋体" w:eastAsia="宋体"/>
          <w:color w:val="auto"/>
          <w:szCs w:val="32"/>
          <w:highlight w:val="none"/>
        </w:rPr>
      </w:r>
      <w:r/>
    </w:p>
    <w:p>
      <w:pPr>
        <w:spacing w:line="440" w:lineRule="exact"/>
        <w:rPr>
          <w:rFonts w:ascii="宋体" w:hAnsi="宋体" w:cs="宋体"/>
          <w:b/>
          <w:bCs/>
          <w:color w:val="auto"/>
          <w:szCs w:val="21"/>
          <w:highlight w:val="none"/>
        </w:rPr>
        <w:sectPr>
          <w:footerReference w:type="default" r:id="rId17"/>
          <w:footerReference w:type="first" r:id="rId18"/>
          <w:footnotePr/>
          <w:endnotePr/>
          <w:type w:val="nextPage"/>
          <w:pgSz w:w="11906" w:h="16838" w:orient="portrait"/>
          <w:pgMar w:top="1015" w:right="1196" w:bottom="868" w:left="1259" w:header="851" w:footer="907" w:gutter="0"/>
          <w:cols w:num="1" w:sep="0" w:space="720" w:equalWidth="1"/>
          <w:docGrid w:linePitch="360"/>
          <w:titlePg/>
        </w:sectPr>
        <w:outlineLvl w:val="0"/>
      </w:pPr>
      <w:r>
        <w:rPr>
          <w:rFonts w:ascii="宋体" w:hAnsi="宋体" w:cs="宋体"/>
          <w:b/>
          <w:bCs/>
          <w:color w:val="auto"/>
          <w:szCs w:val="21"/>
          <w:highlight w:val="none"/>
        </w:rPr>
      </w:r>
      <w:r/>
    </w:p>
    <w:p>
      <w:pPr>
        <w:ind w:firstLine="562"/>
        <w:jc w:val="center"/>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残疾人福利性单位声明函</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8" w:lineRule="exact"/>
        <w:rPr>
          <w:rFonts w:ascii="宋体" w:hAnsi="宋体"/>
          <w:color w:val="auto"/>
          <w:szCs w:val="21"/>
          <w:highlight w:val="none"/>
        </w:rPr>
      </w:pPr>
      <w:r>
        <w:rPr>
          <w:rFonts w:ascii="宋体" w:hAnsi="宋体"/>
          <w:color w:val="auto"/>
          <w:szCs w:val="21"/>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（备注：1、供应商如不提供此声明函，价格将不作相应扣除。2、中标供应商为残疾人福利单位的，此声明函将随中标结果同时公告，接受社会监督）</w:t>
      </w:r>
      <w:r/>
    </w:p>
    <w:p>
      <w:pPr>
        <w:ind w:firstLine="444"/>
        <w:spacing w:line="588" w:lineRule="exact"/>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588" w:lineRule="exact"/>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供应商全称（加盖CA电子公章）：</w:t>
      </w:r>
      <w:r/>
    </w:p>
    <w:p>
      <w:pPr>
        <w:spacing w:line="440" w:lineRule="exact"/>
        <w:rPr>
          <w:rFonts w:ascii="宋体" w:hAnsi="宋体"/>
          <w:color w:val="auto"/>
          <w:szCs w:val="21"/>
          <w:highlight w:val="none"/>
        </w:rPr>
        <w:outlineLvl w:val="0"/>
      </w:pPr>
      <w:r>
        <w:rPr>
          <w:rFonts w:hint="eastAsia" w:ascii="宋体" w:hAnsi="宋体"/>
          <w:color w:val="auto"/>
          <w:szCs w:val="21"/>
          <w:highlight w:val="none"/>
        </w:rPr>
        <w:t xml:space="preserve">                                              日  期</w:t>
      </w:r>
      <w:r/>
    </w:p>
    <w:p>
      <w:pPr>
        <w:pStyle w:val="1174"/>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ind w:firstLine="562"/>
        <w:jc w:val="center"/>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属于监狱企业的证明文件</w:t>
      </w:r>
      <w:r/>
    </w:p>
    <w:p>
      <w:pPr>
        <w:pStyle w:val="1160"/>
        <w:rPr>
          <w:color w:val="auto"/>
          <w:highlight w:val="none"/>
        </w:rPr>
      </w:pPr>
      <w:r>
        <w:rPr>
          <w:color w:val="auto"/>
          <w:highlight w:val="none"/>
        </w:rPr>
      </w:r>
      <w:r/>
    </w:p>
    <w:p>
      <w:pPr>
        <w:pStyle w:val="1160"/>
        <w:rPr>
          <w:rFonts w:ascii="Times New Roman" w:hAnsi="Times New Roman" w:eastAsia="宋体"/>
          <w:color w:val="auto"/>
          <w:sz w:val="24"/>
          <w:szCs w:val="21"/>
          <w:highlight w:val="none"/>
        </w:rPr>
      </w:pPr>
      <w:r>
        <w:rPr>
          <w:rFonts w:hint="eastAsia" w:ascii="Times New Roman" w:hAnsi="Times New Roman" w:eastAsia="宋体"/>
          <w:color w:val="auto"/>
          <w:sz w:val="24"/>
          <w:szCs w:val="21"/>
          <w:highlight w:val="none"/>
        </w:rPr>
        <w:t xml:space="preserve">（提供由省级以上监狱管理局、戒毒管理局(含新疆生产建设兵团)出具的属于监狱企业的证明文件）</w:t>
      </w:r>
      <w:r/>
    </w:p>
    <w:p>
      <w:pPr>
        <w:pStyle w:val="1174"/>
        <w:rPr>
          <w:color w:val="auto"/>
          <w:highlight w:val="none"/>
        </w:rPr>
      </w:pPr>
      <w:r>
        <w:rPr>
          <w:color w:val="auto"/>
          <w:highlight w:val="none"/>
        </w:rPr>
      </w:r>
      <w:r/>
    </w:p>
    <w:p>
      <w:pPr>
        <w:pStyle w:val="1174"/>
        <w:rPr>
          <w:color w:val="auto"/>
          <w:highlight w:val="none"/>
        </w:rPr>
      </w:pPr>
      <w:r>
        <w:rPr>
          <w:color w:val="auto"/>
          <w:highlight w:val="none"/>
        </w:rPr>
      </w:r>
      <w:r/>
    </w:p>
    <w:p>
      <w:pPr>
        <w:ind w:firstLine="562"/>
        <w:jc w:val="center"/>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节能产品认证证书</w:t>
      </w:r>
      <w:r/>
    </w:p>
    <w:p>
      <w:pPr>
        <w:pStyle w:val="1163"/>
        <w:rPr>
          <w:color w:val="auto"/>
          <w:highlight w:val="none"/>
        </w:rPr>
      </w:pPr>
      <w:r>
        <w:rPr>
          <w:color w:val="auto"/>
          <w:highlight w:val="none"/>
        </w:rPr>
      </w:r>
      <w:r/>
    </w:p>
    <w:p>
      <w:pPr>
        <w:ind w:firstLine="720"/>
        <w:jc w:val="left"/>
        <w:rPr>
          <w:rFonts w:hAnsi="仿宋" w:eastAsia="仿宋"/>
          <w:color w:val="auto"/>
          <w:sz w:val="24"/>
          <w:highlight w:val="none"/>
        </w:rPr>
      </w:pPr>
      <w:r>
        <w:rPr>
          <w:rFonts w:hint="eastAsia" w:hAnsi="仿宋" w:eastAsia="仿宋"/>
          <w:color w:val="auto"/>
          <w:sz w:val="24"/>
          <w:highlight w:val="none"/>
        </w:rPr>
        <w:t xml:space="preserve">（提供国家确定的认证机构出具的、处于有效期之内的产品认证证书）</w:t>
      </w:r>
      <w:r/>
    </w:p>
    <w:p>
      <w:pPr>
        <w:jc w:val="center"/>
        <w:rPr>
          <w:rFonts w:ascii="宋体" w:hAnsi="宋体" w:cs="宋体"/>
          <w:b/>
          <w:bCs/>
          <w:color w:val="auto"/>
          <w:szCs w:val="21"/>
          <w:highlight w:val="none"/>
        </w:rPr>
      </w:pPr>
      <w:r>
        <w:rPr>
          <w:rFonts w:ascii="宋体" w:hAnsi="宋体" w:cs="宋体"/>
          <w:b/>
          <w:bCs/>
          <w:color w:val="auto"/>
          <w:szCs w:val="21"/>
          <w:highlight w:val="none"/>
        </w:rPr>
      </w:r>
      <w:r/>
    </w:p>
    <w:p>
      <w:pPr>
        <w:pStyle w:val="1163"/>
        <w:rPr>
          <w:color w:val="auto"/>
          <w:highlight w:val="none"/>
        </w:rPr>
      </w:pPr>
      <w:r>
        <w:rPr>
          <w:color w:val="auto"/>
          <w:highlight w:val="none"/>
        </w:rPr>
      </w:r>
      <w:r/>
    </w:p>
    <w:p>
      <w:pPr>
        <w:pStyle w:val="1159"/>
        <w:rPr>
          <w:color w:val="auto"/>
          <w:highlight w:val="none"/>
        </w:rPr>
      </w:pPr>
      <w:r>
        <w:rPr>
          <w:color w:val="auto"/>
          <w:highlight w:val="none"/>
        </w:rPr>
      </w:r>
      <w:r/>
    </w:p>
    <w:p>
      <w:pPr>
        <w:ind w:firstLine="562"/>
        <w:jc w:val="center"/>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环境标志产品认证证书</w:t>
      </w:r>
      <w:r/>
    </w:p>
    <w:p>
      <w:pPr>
        <w:ind w:firstLine="720"/>
        <w:spacing w:line="560" w:lineRule="exact"/>
        <w:rPr>
          <w:rFonts w:hAnsi="仿宋" w:eastAsia="仿宋"/>
          <w:color w:val="auto"/>
          <w:sz w:val="24"/>
          <w:highlight w:val="none"/>
        </w:rPr>
      </w:pPr>
      <w:r>
        <w:rPr>
          <w:rFonts w:hint="eastAsia" w:hAnsi="仿宋" w:eastAsia="仿宋"/>
          <w:color w:val="auto"/>
          <w:sz w:val="24"/>
          <w:highlight w:val="none"/>
        </w:rPr>
        <w:t xml:space="preserve">（提供国家确定的认证机构出具的、处于有效期之内的产品认证证书）</w:t>
      </w:r>
      <w:r/>
    </w:p>
    <w:p>
      <w:pPr>
        <w:pStyle w:val="1174"/>
        <w:rPr>
          <w:color w:val="auto"/>
          <w:highlight w:val="none"/>
        </w:rPr>
        <w:sectPr>
          <w:footerReference w:type="first" r:id="rId19"/>
          <w:footnotePr/>
          <w:endnotePr/>
          <w:type w:val="nextPage"/>
          <w:pgSz w:w="11906" w:h="16838" w:orient="portrait"/>
          <w:pgMar w:top="1015" w:right="1196" w:bottom="868" w:left="1259" w:header="851" w:footer="907" w:gutter="0"/>
          <w:cols w:num="1" w:sep="0" w:space="720" w:equalWidth="1"/>
          <w:docGrid w:linePitch="360"/>
          <w:titlePg/>
        </w:sectPr>
      </w:pPr>
      <w:r>
        <w:rPr>
          <w:color w:val="auto"/>
          <w:highlight w:val="none"/>
        </w:rPr>
      </w:r>
      <w:r/>
    </w:p>
    <w:p>
      <w:pPr>
        <w:spacing w:line="440" w:lineRule="exact"/>
        <w:rPr>
          <w:rFonts w:ascii="宋体" w:hAnsi="宋体"/>
          <w:b/>
          <w:bCs/>
          <w:color w:val="auto"/>
          <w:szCs w:val="21"/>
          <w:highlight w:val="none"/>
        </w:rPr>
        <w:outlineLvl w:val="0"/>
      </w:pPr>
      <w:r>
        <w:rPr>
          <w:rFonts w:hint="eastAsia" w:ascii="宋体" w:hAnsi="宋体"/>
          <w:b/>
          <w:bCs/>
          <w:color w:val="auto"/>
          <w:szCs w:val="21"/>
          <w:highlight w:val="none"/>
        </w:rPr>
        <w:t xml:space="preserve">附件10：</w:t>
      </w:r>
      <w:r/>
    </w:p>
    <w:p>
      <w:pPr>
        <w:ind w:firstLine="3092"/>
        <w:spacing w:line="500" w:lineRule="exact"/>
        <w:widowControl/>
        <w:rPr>
          <w:rFonts w:ascii="宋体" w:hAnsi="宋体" w:cs="宋体"/>
          <w:b/>
          <w:color w:val="auto"/>
          <w:sz w:val="28"/>
          <w:szCs w:val="28"/>
          <w:highlight w:val="none"/>
        </w:rPr>
      </w:pPr>
      <w:r>
        <w:rPr>
          <w:rFonts w:hint="eastAsia" w:ascii="宋体" w:hAnsi="宋体" w:cs="宋体"/>
          <w:b/>
          <w:color w:val="auto"/>
          <w:sz w:val="28"/>
          <w:szCs w:val="28"/>
          <w:highlight w:val="none"/>
        </w:rPr>
        <w:t xml:space="preserve">拟派本项目人员一览表</w:t>
      </w:r>
      <w:r/>
    </w:p>
    <w:p>
      <w:pPr>
        <w:pStyle w:val="1159"/>
        <w:rPr>
          <w:rFonts w:ascii="宋体" w:hAnsi="宋体" w:cs="宋体"/>
          <w:color w:val="auto"/>
          <w:szCs w:val="21"/>
          <w:highlight w:val="none"/>
        </w:rPr>
      </w:pPr>
      <w:r>
        <w:rPr>
          <w:rFonts w:ascii="宋体" w:hAnsi="宋体" w:cs="宋体"/>
          <w:color w:val="auto"/>
          <w:szCs w:val="21"/>
          <w:highlight w:val="none"/>
        </w:rPr>
      </w:r>
      <w:r/>
    </w:p>
    <w:tbl>
      <w:tblPr>
        <w:tblStyle w:val="1157"/>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4"/>
        <w:gridCol w:w="1167"/>
        <w:gridCol w:w="595"/>
        <w:gridCol w:w="582"/>
        <w:gridCol w:w="1741"/>
        <w:gridCol w:w="1583"/>
        <w:gridCol w:w="930"/>
        <w:gridCol w:w="932"/>
        <w:gridCol w:w="810"/>
        <w:gridCol w:w="798"/>
      </w:tblGrid>
      <w:tr>
        <w:trPr>
          <w:jc w:val="center"/>
          <w:trHeight w:val="682"/>
        </w:trPr>
        <w:tc>
          <w:tcPr>
            <w:tcW w:w="266" w:type="pct"/>
            <w:vAlign w:val="center"/>
            <w:textDirection w:val="lrTb"/>
            <w:noWrap w:val="false"/>
          </w:tcPr>
          <w:p>
            <w:pPr>
              <w:spacing w:line="500" w:lineRule="atLeast"/>
              <w:rPr>
                <w:rFonts w:ascii="宋体" w:hAnsi="宋体"/>
                <w:b/>
                <w:bCs/>
                <w:color w:val="auto"/>
                <w:szCs w:val="21"/>
                <w:highlight w:val="none"/>
              </w:rPr>
            </w:pPr>
            <w:r>
              <w:rPr>
                <w:rFonts w:hint="eastAsia" w:ascii="宋体" w:hAnsi="宋体"/>
                <w:b/>
                <w:bCs/>
                <w:color w:val="auto"/>
                <w:szCs w:val="21"/>
                <w:highlight w:val="none"/>
              </w:rPr>
              <w:t xml:space="preserve">序号</w:t>
            </w:r>
            <w:r/>
          </w:p>
        </w:tc>
        <w:tc>
          <w:tcPr>
            <w:tcW w:w="604" w:type="pct"/>
            <w:vAlign w:val="center"/>
            <w:textDirection w:val="lrTb"/>
            <w:noWrap w:val="false"/>
          </w:tcPr>
          <w:p>
            <w:pPr>
              <w:jc w:val="center"/>
              <w:spacing w:line="500" w:lineRule="atLeast"/>
              <w:rPr>
                <w:rFonts w:ascii="宋体" w:hAnsi="宋体"/>
                <w:b/>
                <w:bCs/>
                <w:color w:val="auto"/>
                <w:szCs w:val="21"/>
                <w:highlight w:val="none"/>
              </w:rPr>
            </w:pPr>
            <w:r>
              <w:rPr>
                <w:rFonts w:hint="eastAsia" w:ascii="宋体" w:hAnsi="宋体"/>
                <w:b/>
                <w:bCs/>
                <w:color w:val="auto"/>
                <w:szCs w:val="21"/>
                <w:highlight w:val="none"/>
              </w:rPr>
              <w:t xml:space="preserve">姓  名</w:t>
            </w:r>
            <w:r/>
          </w:p>
        </w:tc>
        <w:tc>
          <w:tcPr>
            <w:tcW w:w="308" w:type="pct"/>
            <w:vAlign w:val="center"/>
            <w:textDirection w:val="lrTb"/>
            <w:noWrap w:val="false"/>
          </w:tcPr>
          <w:p>
            <w:pPr>
              <w:jc w:val="center"/>
              <w:spacing w:line="500" w:lineRule="atLeast"/>
              <w:rPr>
                <w:rFonts w:ascii="宋体" w:hAnsi="宋体"/>
                <w:b/>
                <w:bCs/>
                <w:color w:val="auto"/>
                <w:szCs w:val="21"/>
                <w:highlight w:val="none"/>
              </w:rPr>
            </w:pPr>
            <w:r>
              <w:rPr>
                <w:rFonts w:hint="eastAsia" w:ascii="宋体" w:hAnsi="宋体"/>
                <w:b/>
                <w:bCs/>
                <w:color w:val="auto"/>
                <w:szCs w:val="21"/>
                <w:highlight w:val="none"/>
              </w:rPr>
              <w:t xml:space="preserve">性别</w:t>
            </w:r>
            <w:r/>
          </w:p>
        </w:tc>
        <w:tc>
          <w:tcPr>
            <w:tcW w:w="301" w:type="pct"/>
            <w:vAlign w:val="center"/>
            <w:textDirection w:val="lrTb"/>
            <w:noWrap w:val="false"/>
          </w:tcPr>
          <w:p>
            <w:pPr>
              <w:jc w:val="center"/>
              <w:spacing w:line="500" w:lineRule="atLeast"/>
              <w:rPr>
                <w:rFonts w:ascii="宋体" w:hAnsi="宋体"/>
                <w:b/>
                <w:bCs/>
                <w:color w:val="auto"/>
                <w:szCs w:val="21"/>
                <w:highlight w:val="none"/>
              </w:rPr>
            </w:pPr>
            <w:r>
              <w:rPr>
                <w:rFonts w:hint="eastAsia" w:ascii="宋体" w:hAnsi="宋体"/>
                <w:b/>
                <w:bCs/>
                <w:color w:val="auto"/>
                <w:szCs w:val="21"/>
                <w:highlight w:val="none"/>
              </w:rPr>
              <w:t xml:space="preserve">年龄</w:t>
            </w:r>
            <w:r/>
          </w:p>
        </w:tc>
        <w:tc>
          <w:tcPr>
            <w:tcW w:w="901" w:type="pct"/>
            <w:vAlign w:val="center"/>
            <w:textDirection w:val="lrTb"/>
            <w:noWrap w:val="false"/>
          </w:tcPr>
          <w:p>
            <w:pPr>
              <w:ind w:firstLine="422"/>
              <w:spacing w:line="500" w:lineRule="atLeast"/>
              <w:rPr>
                <w:rFonts w:ascii="宋体" w:hAnsi="宋体"/>
                <w:b/>
                <w:bCs/>
                <w:color w:val="auto"/>
                <w:szCs w:val="21"/>
                <w:highlight w:val="none"/>
              </w:rPr>
            </w:pPr>
            <w:r>
              <w:rPr>
                <w:rFonts w:hint="eastAsia" w:ascii="宋体" w:hAnsi="宋体"/>
                <w:b/>
                <w:bCs/>
                <w:color w:val="auto"/>
                <w:szCs w:val="21"/>
                <w:highlight w:val="none"/>
              </w:rPr>
              <w:t xml:space="preserve">身份证号码</w:t>
            </w:r>
            <w:r/>
          </w:p>
        </w:tc>
        <w:tc>
          <w:tcPr>
            <w:tcW w:w="819" w:type="pct"/>
            <w:vAlign w:val="center"/>
            <w:textDirection w:val="lrTb"/>
            <w:noWrap w:val="false"/>
          </w:tcPr>
          <w:p>
            <w:pPr>
              <w:jc w:val="center"/>
              <w:spacing w:line="500" w:lineRule="atLeast"/>
              <w:rPr>
                <w:rFonts w:ascii="宋体" w:hAnsi="宋体"/>
                <w:b/>
                <w:bCs/>
                <w:color w:val="auto"/>
                <w:szCs w:val="21"/>
                <w:highlight w:val="none"/>
              </w:rPr>
            </w:pPr>
            <w:r>
              <w:rPr>
                <w:rFonts w:hint="eastAsia" w:ascii="宋体" w:hAnsi="宋体"/>
                <w:b/>
                <w:bCs/>
                <w:color w:val="auto"/>
                <w:szCs w:val="21"/>
                <w:highlight w:val="none"/>
              </w:rPr>
              <w:t xml:space="preserve">资格证书</w:t>
            </w:r>
            <w:r/>
          </w:p>
        </w:tc>
        <w:tc>
          <w:tcPr>
            <w:tcW w:w="481" w:type="pct"/>
            <w:vAlign w:val="center"/>
            <w:textDirection w:val="lrTb"/>
            <w:noWrap w:val="false"/>
          </w:tcPr>
          <w:p>
            <w:pPr>
              <w:jc w:val="center"/>
              <w:rPr>
                <w:rFonts w:hint="default" w:ascii="宋体" w:hAnsi="宋体" w:eastAsia="宋体"/>
                <w:b/>
                <w:bCs/>
                <w:color w:val="auto"/>
                <w:szCs w:val="21"/>
                <w:highlight w:val="none"/>
                <w:lang w:val="en-US" w:eastAsia="zh-CN"/>
              </w:rPr>
            </w:pPr>
            <w:r>
              <w:rPr>
                <w:rFonts w:hint="eastAsia" w:ascii="宋体" w:hAnsi="宋体"/>
                <w:b/>
                <w:bCs/>
                <w:color w:val="auto"/>
                <w:szCs w:val="21"/>
                <w:highlight w:val="none"/>
                <w:lang w:val="en-US" w:eastAsia="zh-CN"/>
              </w:rPr>
              <w:t xml:space="preserve">学历</w:t>
            </w:r>
            <w:r/>
          </w:p>
        </w:tc>
        <w:tc>
          <w:tcPr>
            <w:tcW w:w="482" w:type="pct"/>
            <w:vAlign w:val="center"/>
            <w:textDirection w:val="lrTb"/>
            <w:noWrap w:val="false"/>
          </w:tcPr>
          <w:p>
            <w:pPr>
              <w:rPr>
                <w:rFonts w:ascii="宋体" w:hAnsi="宋体"/>
                <w:b/>
                <w:bCs/>
                <w:color w:val="auto"/>
                <w:szCs w:val="21"/>
                <w:highlight w:val="none"/>
              </w:rPr>
            </w:pPr>
            <w:r>
              <w:rPr>
                <w:rFonts w:hint="eastAsia" w:ascii="宋体" w:hAnsi="宋体"/>
                <w:b/>
                <w:bCs/>
                <w:color w:val="auto"/>
                <w:szCs w:val="21"/>
                <w:highlight w:val="none"/>
              </w:rPr>
              <w:t xml:space="preserve">本项目中的岗位</w:t>
            </w:r>
            <w:r/>
          </w:p>
        </w:tc>
        <w:tc>
          <w:tcPr>
            <w:tcW w:w="419" w:type="pct"/>
            <w:vAlign w:val="center"/>
            <w:textDirection w:val="lrTb"/>
            <w:noWrap w:val="false"/>
          </w:tcPr>
          <w:p>
            <w:pPr>
              <w:rPr>
                <w:rFonts w:ascii="宋体" w:hAnsi="宋体"/>
                <w:b/>
                <w:bCs/>
                <w:color w:val="auto"/>
                <w:szCs w:val="21"/>
                <w:highlight w:val="none"/>
              </w:rPr>
            </w:pPr>
            <w:r>
              <w:rPr>
                <w:rFonts w:hint="eastAsia" w:ascii="宋体" w:hAnsi="宋体"/>
                <w:b/>
                <w:bCs/>
                <w:color w:val="auto"/>
                <w:szCs w:val="21"/>
                <w:highlight w:val="none"/>
              </w:rPr>
              <w:t xml:space="preserve">是否缴纳社保</w:t>
            </w:r>
            <w:r/>
          </w:p>
        </w:tc>
        <w:tc>
          <w:tcPr>
            <w:tcW w:w="413" w:type="pct"/>
            <w:vAlign w:val="center"/>
            <w:textDirection w:val="lrTb"/>
            <w:noWrap w:val="false"/>
          </w:tcPr>
          <w:p>
            <w:pPr>
              <w:rPr>
                <w:rFonts w:hint="eastAsia" w:ascii="宋体" w:hAnsi="宋体" w:eastAsia="宋体"/>
                <w:b/>
                <w:bCs/>
                <w:color w:val="auto"/>
                <w:szCs w:val="21"/>
                <w:highlight w:val="none"/>
                <w:lang w:val="en-US" w:eastAsia="zh-CN"/>
              </w:rPr>
            </w:pPr>
            <w:r>
              <w:rPr>
                <w:rFonts w:hint="eastAsia" w:ascii="宋体" w:hAnsi="宋体"/>
                <w:b/>
                <w:bCs/>
                <w:color w:val="auto"/>
                <w:szCs w:val="21"/>
                <w:highlight w:val="none"/>
                <w:lang w:val="en-US" w:eastAsia="zh-CN"/>
              </w:rPr>
              <w:t xml:space="preserve">经验</w:t>
            </w:r>
            <w:r/>
          </w:p>
        </w:tc>
      </w:tr>
      <w:tr>
        <w:trPr>
          <w:jc w:val="center"/>
          <w:trHeight w:val="567"/>
        </w:trPr>
        <w:tc>
          <w:tcPr>
            <w:tcW w:w="266" w:type="pct"/>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60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308"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301"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901"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819"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481"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482" w:type="pct"/>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419" w:type="pct"/>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413" w:type="pct"/>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266"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604"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308"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301"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901"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819"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81"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82"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19"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13"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r>
      <w:tr>
        <w:trPr>
          <w:jc w:val="center"/>
          <w:trHeight w:val="567"/>
        </w:trPr>
        <w:tc>
          <w:tcPr>
            <w:tcW w:w="266"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604"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308"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301"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901"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819"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81"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82"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19"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13"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r>
      <w:tr>
        <w:trPr>
          <w:jc w:val="center"/>
          <w:trHeight w:val="567"/>
        </w:trPr>
        <w:tc>
          <w:tcPr>
            <w:tcW w:w="266"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604"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308"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301"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901"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819"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81"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82"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19"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13"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r>
      <w:tr>
        <w:trPr>
          <w:jc w:val="center"/>
          <w:trHeight w:val="567"/>
        </w:trPr>
        <w:tc>
          <w:tcPr>
            <w:tcW w:w="266"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604"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308"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301"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901"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819"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81"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82"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19"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13"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r>
      <w:tr>
        <w:trPr>
          <w:jc w:val="center"/>
          <w:trHeight w:val="567"/>
        </w:trPr>
        <w:tc>
          <w:tcPr>
            <w:tcW w:w="266"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604"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308"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301"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901"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819"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81"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82"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19"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13"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r>
      <w:tr>
        <w:trPr>
          <w:jc w:val="center"/>
          <w:trHeight w:val="567"/>
        </w:trPr>
        <w:tc>
          <w:tcPr>
            <w:tcW w:w="266"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604"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308"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301"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901"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819"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81"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82"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19"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13"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r>
      <w:tr>
        <w:trPr>
          <w:jc w:val="center"/>
          <w:trHeight w:val="567"/>
        </w:trPr>
        <w:tc>
          <w:tcPr>
            <w:tcW w:w="266"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604"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308"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301"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901"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819"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81"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82"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19"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13"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r>
      <w:tr>
        <w:trPr>
          <w:jc w:val="center"/>
          <w:trHeight w:val="567"/>
        </w:trPr>
        <w:tc>
          <w:tcPr>
            <w:tcW w:w="266"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604"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308"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301"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901"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819"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81"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82"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19"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13"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r>
      <w:tr>
        <w:trPr>
          <w:jc w:val="center"/>
          <w:trHeight w:val="567"/>
        </w:trPr>
        <w:tc>
          <w:tcPr>
            <w:tcW w:w="266" w:type="pct"/>
            <w:vAlign w:val="center"/>
            <w:textDirection w:val="lrTb"/>
            <w:noWrap w:val="false"/>
          </w:tcPr>
          <w:p>
            <w:pPr>
              <w:jc w:val="center"/>
              <w:widowControl/>
              <w:rPr>
                <w:rFonts w:ascii="宋体" w:hAnsi="宋体" w:cs="宋体"/>
                <w:color w:val="auto"/>
                <w:sz w:val="20"/>
                <w:szCs w:val="21"/>
                <w:highlight w:val="none"/>
              </w:rPr>
            </w:pPr>
            <w:r>
              <w:rPr>
                <w:rFonts w:hint="eastAsia" w:ascii="宋体" w:hAnsi="宋体" w:cs="宋体"/>
                <w:color w:val="auto"/>
                <w:szCs w:val="21"/>
                <w:highlight w:val="none"/>
              </w:rPr>
              <w:t xml:space="preserve">…</w:t>
            </w:r>
            <w:r/>
          </w:p>
        </w:tc>
        <w:tc>
          <w:tcPr>
            <w:tcW w:w="604"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308"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301"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901"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819"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81"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82"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19"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13"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r>
    </w:tbl>
    <w:p>
      <w:pPr>
        <w:ind w:firstLine="400"/>
        <w:jc w:val="left"/>
        <w:widowControl/>
        <w:rPr>
          <w:rFonts w:ascii="宋体" w:hAnsi="宋体" w:cs="宋体"/>
          <w:color w:val="auto"/>
          <w:sz w:val="20"/>
          <w:szCs w:val="21"/>
          <w:highlight w:val="none"/>
        </w:rPr>
      </w:pPr>
      <w:r>
        <w:rPr>
          <w:rFonts w:ascii="宋体" w:hAnsi="宋体" w:cs="宋体"/>
          <w:color w:val="auto"/>
          <w:sz w:val="20"/>
          <w:szCs w:val="21"/>
          <w:highlight w:val="none"/>
        </w:rPr>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填写说明：</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1.按照采购需求详细填列；</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3.相关证明材料附后。</w:t>
      </w:r>
      <w:r/>
    </w:p>
    <w:p>
      <w:pPr>
        <w:ind w:firstLine="480"/>
        <w:spacing w:line="500" w:lineRule="atLeast"/>
        <w:widowControl/>
        <w:rPr>
          <w:rFonts w:ascii="宋体" w:hAnsi="宋体"/>
          <w:bCs/>
          <w:color w:val="auto"/>
          <w:sz w:val="24"/>
          <w:highlight w:val="none"/>
        </w:rPr>
      </w:pPr>
      <w:r>
        <w:rPr>
          <w:rFonts w:ascii="宋体" w:hAnsi="宋体"/>
          <w:bCs/>
          <w:color w:val="auto"/>
          <w:sz w:val="24"/>
          <w:highlight w:val="none"/>
        </w:rPr>
      </w:r>
      <w:r/>
    </w:p>
    <w:p>
      <w:pPr>
        <w:ind w:firstLine="480"/>
        <w:spacing w:line="500" w:lineRule="atLeast"/>
        <w:widowControl/>
        <w:rPr>
          <w:rFonts w:ascii="宋体" w:hAnsi="宋体"/>
          <w:bCs/>
          <w:color w:val="auto"/>
          <w:sz w:val="24"/>
          <w:highlight w:val="none"/>
        </w:rPr>
      </w:pPr>
      <w:r>
        <w:rPr>
          <w:rFonts w:hint="eastAsia" w:ascii="宋体" w:hAnsi="宋体"/>
          <w:color w:val="auto"/>
          <w:szCs w:val="21"/>
          <w:highlight w:val="none"/>
        </w:rPr>
        <w:t xml:space="preserve">供应商名称（加盖CA电子公章）：</w:t>
      </w:r>
      <w:r>
        <w:rPr>
          <w:rFonts w:hint="eastAsia" w:ascii="宋体" w:hAnsi="宋体"/>
          <w:bCs/>
          <w:color w:val="auto"/>
          <w:sz w:val="24"/>
          <w:highlight w:val="none"/>
        </w:rPr>
        <w:t xml:space="preserve">      </w:t>
      </w:r>
      <w:r/>
    </w:p>
    <w:p>
      <w:pPr>
        <w:ind w:firstLine="840"/>
        <w:spacing w:line="500" w:lineRule="atLeast"/>
        <w:widowControl/>
        <w:rPr>
          <w:rFonts w:ascii="宋体" w:hAnsi="宋体"/>
          <w:bCs/>
          <w:color w:val="auto"/>
          <w:sz w:val="24"/>
          <w:highlight w:val="none"/>
        </w:rPr>
      </w:pPr>
      <w:r>
        <w:rPr>
          <w:rFonts w:hint="eastAsia" w:ascii="宋体" w:hAnsi="宋体" w:cs="宋体"/>
          <w:color w:val="auto"/>
          <w:szCs w:val="21"/>
          <w:highlight w:val="none"/>
        </w:rPr>
        <w:t xml:space="preserve">日   期：     </w:t>
      </w:r>
      <w:r>
        <w:rPr>
          <w:rFonts w:hint="eastAsia" w:ascii="宋体" w:hAnsi="宋体"/>
          <w:bCs/>
          <w:color w:val="auto"/>
          <w:sz w:val="24"/>
          <w:highlight w:val="none"/>
        </w:rPr>
        <w:t xml:space="preserve"> </w:t>
      </w:r>
      <w:r/>
    </w:p>
    <w:p>
      <w:pPr>
        <w:jc w:val="left"/>
        <w:spacing w:line="360" w:lineRule="auto"/>
        <w:rPr>
          <w:rFonts w:ascii="宋体" w:hAnsi="宋体"/>
          <w:b/>
          <w:bCs/>
          <w:color w:val="auto"/>
          <w:szCs w:val="21"/>
          <w:highlight w:val="none"/>
        </w:rPr>
      </w:pPr>
      <w:r>
        <w:rPr>
          <w:rFonts w:ascii="宋体" w:hAnsi="宋体"/>
          <w:b/>
          <w:bCs/>
          <w:color w:val="auto"/>
          <w:szCs w:val="21"/>
          <w:highlight w:val="none"/>
        </w:rPr>
      </w:r>
      <w:r/>
    </w:p>
    <w:p>
      <w:pPr>
        <w:jc w:val="left"/>
        <w:spacing w:line="360" w:lineRule="auto"/>
        <w:rPr>
          <w:rFonts w:ascii="宋体" w:hAnsi="宋体"/>
          <w:b/>
          <w:bCs/>
          <w:color w:val="auto"/>
          <w:szCs w:val="21"/>
          <w:highlight w:val="none"/>
        </w:rPr>
      </w:pPr>
      <w:r>
        <w:rPr>
          <w:rFonts w:ascii="宋体" w:hAnsi="宋体"/>
          <w:b/>
          <w:bCs/>
          <w:color w:val="auto"/>
          <w:szCs w:val="21"/>
          <w:highlight w:val="none"/>
        </w:rPr>
      </w:r>
      <w:r/>
    </w:p>
    <w:p>
      <w:pPr>
        <w:jc w:val="left"/>
        <w:spacing w:line="360" w:lineRule="auto"/>
        <w:rPr>
          <w:rFonts w:ascii="宋体" w:hAnsi="宋体"/>
          <w:b/>
          <w:bCs/>
          <w:color w:val="auto"/>
          <w:szCs w:val="21"/>
          <w:highlight w:val="none"/>
        </w:rPr>
      </w:pPr>
      <w:r>
        <w:rPr>
          <w:rFonts w:ascii="宋体" w:hAnsi="宋体"/>
          <w:b/>
          <w:bCs/>
          <w:color w:val="auto"/>
          <w:szCs w:val="21"/>
          <w:highlight w:val="none"/>
        </w:rPr>
      </w:r>
      <w:r/>
    </w:p>
    <w:p>
      <w:pPr>
        <w:jc w:val="left"/>
        <w:spacing w:line="360" w:lineRule="auto"/>
        <w:rPr>
          <w:rFonts w:ascii="宋体" w:hAnsi="宋体"/>
          <w:b/>
          <w:bCs/>
          <w:color w:val="auto"/>
          <w:szCs w:val="21"/>
          <w:highlight w:val="none"/>
        </w:rPr>
      </w:pPr>
      <w:r>
        <w:rPr>
          <w:rFonts w:ascii="宋体" w:hAnsi="宋体"/>
          <w:b/>
          <w:bCs/>
          <w:color w:val="auto"/>
          <w:szCs w:val="21"/>
          <w:highlight w:val="none"/>
        </w:rPr>
      </w:r>
      <w:r/>
    </w:p>
    <w:p>
      <w:pPr>
        <w:jc w:val="left"/>
        <w:spacing w:line="360" w:lineRule="auto"/>
        <w:rPr>
          <w:rFonts w:ascii="宋体" w:hAnsi="宋体"/>
          <w:b/>
          <w:bCs/>
          <w:color w:val="auto"/>
          <w:szCs w:val="21"/>
          <w:highlight w:val="none"/>
        </w:rPr>
      </w:pPr>
      <w:r>
        <w:rPr>
          <w:rFonts w:ascii="宋体" w:hAnsi="宋体"/>
          <w:b/>
          <w:bCs/>
          <w:color w:val="auto"/>
          <w:szCs w:val="21"/>
          <w:highlight w:val="none"/>
        </w:rPr>
      </w:r>
      <w:r/>
    </w:p>
    <w:p>
      <w:pPr>
        <w:jc w:val="left"/>
        <w:spacing w:line="360" w:lineRule="auto"/>
        <w:rPr>
          <w:rFonts w:ascii="宋体" w:hAnsi="宋体"/>
          <w:b/>
          <w:bCs/>
          <w:color w:val="auto"/>
          <w:szCs w:val="21"/>
          <w:highlight w:val="none"/>
        </w:rPr>
      </w:pPr>
      <w:r>
        <w:rPr>
          <w:rFonts w:ascii="宋体" w:hAnsi="宋体"/>
          <w:b/>
          <w:bCs/>
          <w:color w:val="auto"/>
          <w:szCs w:val="21"/>
          <w:highlight w:val="none"/>
        </w:rPr>
      </w:r>
      <w:r/>
    </w:p>
    <w:p>
      <w:pPr>
        <w:jc w:val="left"/>
        <w:spacing w:line="360" w:lineRule="auto"/>
        <w:rPr>
          <w:rFonts w:ascii="宋体" w:hAnsi="宋体"/>
          <w:b/>
          <w:bCs/>
          <w:color w:val="auto"/>
          <w:szCs w:val="21"/>
          <w:highlight w:val="none"/>
        </w:rPr>
      </w:pPr>
      <w:r>
        <w:rPr>
          <w:rFonts w:ascii="宋体" w:hAnsi="宋体"/>
          <w:b/>
          <w:bCs/>
          <w:color w:val="auto"/>
          <w:szCs w:val="21"/>
          <w:highlight w:val="none"/>
        </w:rPr>
      </w:r>
      <w:r/>
    </w:p>
    <w:p>
      <w:pPr>
        <w:jc w:val="left"/>
        <w:spacing w:line="360" w:lineRule="auto"/>
        <w:rPr>
          <w:rFonts w:ascii="宋体" w:hAnsi="宋体"/>
          <w:b/>
          <w:color w:val="auto"/>
          <w:szCs w:val="21"/>
          <w:highlight w:val="none"/>
        </w:rPr>
      </w:pPr>
      <w:r>
        <w:rPr>
          <w:rFonts w:hint="eastAsia" w:ascii="宋体" w:hAnsi="宋体"/>
          <w:b/>
          <w:bCs/>
          <w:color w:val="auto"/>
          <w:szCs w:val="21"/>
          <w:highlight w:val="none"/>
        </w:rPr>
        <w:t xml:space="preserve">附件11：</w:t>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供应商近年类似业绩情况表</w:t>
      </w:r>
      <w:r/>
    </w:p>
    <w:p>
      <w:pPr>
        <w:pStyle w:val="1177"/>
        <w:rPr>
          <w:color w:val="auto"/>
          <w:highlight w:val="none"/>
        </w:rPr>
      </w:pPr>
      <w:r>
        <w:rPr>
          <w:color w:val="auto"/>
          <w:highlight w:val="none"/>
        </w:rPr>
      </w:r>
      <w:r/>
    </w:p>
    <w:tbl>
      <w:tblPr>
        <w:tblStyle w:val="1157"/>
        <w:tblW w:w="84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jc w:val="center"/>
        </w:trPr>
        <w:tc>
          <w:tcPr>
            <w:tcW w:w="68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序号</w:t>
            </w:r>
            <w:r/>
          </w:p>
        </w:tc>
        <w:tc>
          <w:tcPr>
            <w:tcW w:w="1559"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项目名称</w:t>
            </w:r>
            <w:r/>
          </w:p>
        </w:tc>
        <w:tc>
          <w:tcPr>
            <w:tcW w:w="141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业主单位及联系方式</w:t>
            </w:r>
            <w:r/>
          </w:p>
        </w:tc>
        <w:tc>
          <w:tcPr>
            <w:tcW w:w="99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项目合同价</w:t>
            </w:r>
            <w:r/>
          </w:p>
        </w:tc>
        <w:tc>
          <w:tcPr>
            <w:tcW w:w="1517"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项目概况</w:t>
            </w:r>
            <w:r/>
          </w:p>
        </w:tc>
        <w:tc>
          <w:tcPr>
            <w:tcW w:w="1134"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项目实施期限</w:t>
            </w:r>
            <w:r/>
          </w:p>
        </w:tc>
        <w:tc>
          <w:tcPr>
            <w:tcW w:w="1134"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备注</w:t>
            </w:r>
            <w:r/>
          </w:p>
        </w:tc>
      </w:tr>
      <w:tr>
        <w:trPr>
          <w:jc w:val="center"/>
        </w:trPr>
        <w:tc>
          <w:tcPr>
            <w:tcW w:w="6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firstLine="120"/>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1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Pr>
        <w:tc>
          <w:tcPr>
            <w:tcW w:w="6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1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Pr>
        <w:tc>
          <w:tcPr>
            <w:tcW w:w="6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1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Pr>
        <w:tc>
          <w:tcPr>
            <w:tcW w:w="6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1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Pr>
        <w:tc>
          <w:tcPr>
            <w:tcW w:w="6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1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Pr>
        <w:tc>
          <w:tcPr>
            <w:tcW w:w="6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1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Pr>
        <w:tc>
          <w:tcPr>
            <w:tcW w:w="6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1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Pr>
        <w:tc>
          <w:tcPr>
            <w:tcW w:w="6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1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spacing w:line="360" w:lineRule="auto"/>
        <w:rPr>
          <w:rFonts w:ascii="宋体" w:hAnsi="宋体"/>
          <w:b/>
          <w:color w:val="auto"/>
          <w:szCs w:val="21"/>
          <w:highlight w:val="none"/>
        </w:rPr>
      </w:pPr>
      <w:r>
        <w:rPr>
          <w:rFonts w:ascii="宋体" w:hAnsi="宋体"/>
          <w:b/>
          <w:color w:val="auto"/>
          <w:szCs w:val="21"/>
          <w:highlight w:val="none"/>
        </w:rPr>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注：1.提供上述表格中业绩相应证明材料的原件扫描件</w:t>
      </w:r>
      <w:r>
        <w:rPr>
          <w:rFonts w:hint="eastAsia" w:ascii="宋体" w:hAnsi="宋体"/>
          <w:color w:val="auto"/>
          <w:szCs w:val="21"/>
          <w:highlight w:val="none"/>
        </w:rPr>
        <w:t xml:space="preserve">加盖CA电子公章</w:t>
      </w:r>
      <w:r>
        <w:rPr>
          <w:rFonts w:hint="eastAsia" w:ascii="宋体" w:hAnsi="宋体" w:cs="宋体"/>
          <w:color w:val="auto"/>
          <w:szCs w:val="21"/>
          <w:highlight w:val="none"/>
        </w:rPr>
        <w:t xml:space="preserve">。</w:t>
      </w:r>
      <w:r/>
    </w:p>
    <w:p>
      <w:pPr>
        <w:ind w:firstLine="960"/>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2.如有需要说明的事项，请在备注中列明。</w:t>
      </w:r>
      <w:r/>
    </w:p>
    <w:p>
      <w:pPr>
        <w:jc w:val="left"/>
        <w:spacing w:line="360" w:lineRule="auto"/>
        <w:rPr>
          <w:rFonts w:ascii="宋体" w:hAnsi="宋体"/>
          <w:b/>
          <w:color w:val="auto"/>
          <w:szCs w:val="21"/>
          <w:highlight w:val="none"/>
        </w:rPr>
      </w:pPr>
      <w:r>
        <w:rPr>
          <w:rFonts w:ascii="宋体" w:hAnsi="宋体"/>
          <w:b/>
          <w:color w:val="auto"/>
          <w:szCs w:val="21"/>
          <w:highlight w:val="none"/>
        </w:rPr>
      </w:r>
      <w:r/>
    </w:p>
    <w:p>
      <w:pPr>
        <w:ind w:firstLine="420"/>
        <w:rPr>
          <w:rFonts w:ascii="宋体" w:hAnsi="宋体"/>
          <w:color w:val="auto"/>
          <w:szCs w:val="21"/>
          <w:highlight w:val="none"/>
        </w:rPr>
      </w:pPr>
      <w:r>
        <w:rPr>
          <w:rFonts w:hint="eastAsia" w:ascii="宋体" w:hAnsi="宋体"/>
          <w:color w:val="auto"/>
          <w:szCs w:val="21"/>
          <w:highlight w:val="none"/>
        </w:rPr>
        <w:t xml:space="preserve"> </w:t>
      </w:r>
      <w:r/>
    </w:p>
    <w:p>
      <w:pPr>
        <w:ind w:firstLine="420"/>
        <w:rPr>
          <w:rFonts w:ascii="宋体" w:hAnsi="宋体"/>
          <w:color w:val="auto"/>
          <w:szCs w:val="21"/>
          <w:highlight w:val="none"/>
        </w:rPr>
      </w:pPr>
      <w:r>
        <w:rPr>
          <w:rFonts w:hint="eastAsia" w:ascii="宋体" w:hAnsi="宋体"/>
          <w:color w:val="auto"/>
          <w:szCs w:val="21"/>
          <w:highlight w:val="none"/>
        </w:rPr>
        <w:t xml:space="preserve"> </w:t>
      </w:r>
      <w:r/>
    </w:p>
    <w:p>
      <w:pPr>
        <w:ind w:firstLine="420"/>
        <w:rPr>
          <w:rFonts w:ascii="宋体" w:hAnsi="宋体"/>
          <w:color w:val="auto"/>
          <w:szCs w:val="21"/>
          <w:highlight w:val="none"/>
        </w:rPr>
      </w:pPr>
      <w:r>
        <w:rPr>
          <w:rFonts w:hint="eastAsia" w:ascii="宋体" w:hAnsi="宋体"/>
          <w:color w:val="auto"/>
          <w:szCs w:val="21"/>
          <w:highlight w:val="none"/>
        </w:rPr>
        <w:t xml:space="preserve"> </w:t>
      </w:r>
      <w:r/>
    </w:p>
    <w:p>
      <w:pPr>
        <w:pStyle w:val="1173"/>
        <w:ind w:firstLine="0"/>
        <w:rPr>
          <w:color w:val="auto"/>
          <w:highlight w:val="none"/>
        </w:rPr>
      </w:pPr>
      <w:r>
        <w:rPr>
          <w:color w:val="auto"/>
          <w:highlight w:val="none"/>
        </w:rPr>
      </w:r>
      <w:r/>
    </w:p>
    <w:p>
      <w:pPr>
        <w:pStyle w:val="1173"/>
        <w:ind w:firstLine="0"/>
        <w:rPr>
          <w:color w:val="auto"/>
          <w:highlight w:val="none"/>
        </w:rPr>
      </w:pPr>
      <w:r>
        <w:rPr>
          <w:color w:val="auto"/>
          <w:highlight w:val="none"/>
        </w:rPr>
      </w:r>
      <w:r/>
    </w:p>
    <w:p>
      <w:pPr>
        <w:pStyle w:val="1173"/>
        <w:ind w:firstLine="0"/>
        <w:rPr>
          <w:color w:val="auto"/>
          <w:highlight w:val="none"/>
        </w:rPr>
      </w:pPr>
      <w:r>
        <w:rPr>
          <w:color w:val="auto"/>
          <w:highlight w:val="none"/>
        </w:rPr>
      </w:r>
      <w:r/>
    </w:p>
    <w:p>
      <w:pPr>
        <w:pStyle w:val="1173"/>
        <w:ind w:firstLine="0"/>
        <w:rPr>
          <w:color w:val="auto"/>
          <w:highlight w:val="none"/>
        </w:rPr>
      </w:pPr>
      <w:r>
        <w:rPr>
          <w:color w:val="auto"/>
          <w:highlight w:val="none"/>
        </w:rPr>
      </w:r>
      <w:r/>
    </w:p>
    <w:p>
      <w:pPr>
        <w:pStyle w:val="1173"/>
        <w:ind w:firstLine="0"/>
        <w:rPr>
          <w:color w:val="auto"/>
          <w:highlight w:val="none"/>
        </w:rPr>
      </w:pPr>
      <w:r>
        <w:rPr>
          <w:color w:val="auto"/>
          <w:highlight w:val="none"/>
        </w:rPr>
      </w:r>
      <w:r/>
    </w:p>
    <w:p>
      <w:pPr>
        <w:pStyle w:val="1173"/>
        <w:ind w:firstLine="0"/>
        <w:rPr>
          <w:color w:val="auto"/>
          <w:highlight w:val="none"/>
        </w:rPr>
      </w:pPr>
      <w:r>
        <w:rPr>
          <w:color w:val="auto"/>
          <w:highlight w:val="none"/>
        </w:rPr>
      </w:r>
      <w:r/>
    </w:p>
    <w:p>
      <w:pPr>
        <w:pStyle w:val="1173"/>
        <w:ind w:firstLine="0"/>
        <w:rPr>
          <w:color w:val="auto"/>
          <w:highlight w:val="none"/>
        </w:rPr>
      </w:pPr>
      <w:r>
        <w:rPr>
          <w:color w:val="auto"/>
          <w:highlight w:val="none"/>
        </w:rPr>
      </w:r>
      <w:r/>
    </w:p>
    <w:p>
      <w:pPr>
        <w:pStyle w:val="1173"/>
        <w:ind w:firstLine="0"/>
        <w:rPr>
          <w:color w:val="auto"/>
          <w:highlight w:val="none"/>
        </w:rPr>
      </w:pPr>
      <w:r>
        <w:rPr>
          <w:color w:val="auto"/>
          <w:highlight w:val="none"/>
        </w:rPr>
      </w:r>
      <w:r/>
    </w:p>
    <w:p>
      <w:pPr>
        <w:pStyle w:val="1173"/>
        <w:ind w:firstLine="0"/>
        <w:rPr>
          <w:color w:val="auto"/>
          <w:highlight w:val="none"/>
        </w:rPr>
      </w:pPr>
      <w:r>
        <w:rPr>
          <w:color w:val="auto"/>
          <w:highlight w:val="none"/>
        </w:rPr>
      </w:r>
      <w:r/>
    </w:p>
    <w:p>
      <w:pPr>
        <w:pStyle w:val="1173"/>
        <w:ind w:firstLine="0"/>
        <w:rPr>
          <w:color w:val="auto"/>
          <w:highlight w:val="none"/>
        </w:rPr>
      </w:pPr>
      <w:r>
        <w:rPr>
          <w:color w:val="auto"/>
          <w:highlight w:val="none"/>
        </w:rPr>
      </w:r>
      <w:r/>
    </w:p>
    <w:p>
      <w:pPr>
        <w:pStyle w:val="1173"/>
        <w:ind w:firstLine="0"/>
        <w:rPr>
          <w:color w:val="auto"/>
          <w:highlight w:val="none"/>
        </w:rPr>
      </w:pPr>
      <w:r>
        <w:rPr>
          <w:color w:val="auto"/>
          <w:highlight w:val="none"/>
        </w:rPr>
      </w:r>
      <w:r>
        <w:rPr>
          <w:color w:val="auto"/>
          <w:highlight w:val="none"/>
        </w:rPr>
      </w:r>
      <w:r/>
    </w:p>
    <w:p>
      <w:pPr>
        <w:pStyle w:val="1173"/>
        <w:ind w:firstLine="0"/>
        <w:rPr>
          <w:color w:val="auto"/>
          <w:highlight w:val="none"/>
        </w:rPr>
      </w:pPr>
      <w:r>
        <w:rPr>
          <w:color w:val="auto"/>
          <w:highlight w:val="none"/>
        </w:rPr>
      </w:r>
      <w:r>
        <w:rPr>
          <w:color w:val="auto"/>
          <w:highlight w:val="none"/>
        </w:rPr>
      </w:r>
      <w:r/>
    </w:p>
    <w:p>
      <w:pPr>
        <w:pStyle w:val="1173"/>
        <w:ind w:firstLine="0"/>
        <w:rPr>
          <w:color w:val="auto"/>
          <w:highlight w:val="none"/>
        </w:rPr>
      </w:pPr>
      <w:r>
        <w:rPr>
          <w:color w:val="auto"/>
          <w:highlight w:val="none"/>
        </w:rPr>
      </w:r>
      <w:r>
        <w:rPr>
          <w:color w:val="auto"/>
          <w:highlight w:val="none"/>
        </w:rPr>
      </w:r>
      <w:r/>
    </w:p>
    <w:p>
      <w:pPr>
        <w:pStyle w:val="1173"/>
        <w:ind w:firstLine="0"/>
        <w:rPr>
          <w:color w:val="auto"/>
          <w:highlight w:val="none"/>
        </w:rPr>
      </w:pPr>
      <w:r>
        <w:rPr>
          <w:color w:val="auto"/>
          <w:highlight w:val="none"/>
        </w:rPr>
      </w:r>
      <w:r>
        <w:rPr>
          <w:color w:val="auto"/>
          <w:highlight w:val="none"/>
        </w:rPr>
      </w:r>
      <w:r/>
    </w:p>
    <w:p>
      <w:pPr>
        <w:pStyle w:val="1173"/>
        <w:ind w:firstLine="0"/>
        <w:rPr>
          <w:color w:val="auto"/>
          <w:highlight w:val="none"/>
        </w:rPr>
      </w:pPr>
      <w:r>
        <w:rPr>
          <w:color w:val="auto"/>
          <w:highlight w:val="none"/>
        </w:rPr>
      </w:r>
      <w:r>
        <w:rPr>
          <w:color w:val="auto"/>
          <w:highlight w:val="none"/>
        </w:rPr>
      </w:r>
      <w:r/>
    </w:p>
    <w:p>
      <w:pPr>
        <w:pStyle w:val="1173"/>
        <w:ind w:firstLine="0"/>
        <w:rPr>
          <w:color w:val="auto"/>
          <w:highlight w:val="none"/>
        </w:rPr>
      </w:pPr>
      <w:r>
        <w:rPr>
          <w:color w:val="auto"/>
          <w:highlight w:val="none"/>
        </w:rPr>
      </w:r>
      <w:r>
        <w:rPr>
          <w:color w:val="auto"/>
          <w:highlight w:val="none"/>
        </w:rPr>
      </w:r>
      <w:r/>
    </w:p>
    <w:p>
      <w:pPr>
        <w:pStyle w:val="1173"/>
        <w:ind w:firstLine="0"/>
        <w:rPr>
          <w:color w:val="auto"/>
          <w:highlight w:val="none"/>
        </w:rPr>
      </w:pPr>
      <w:r>
        <w:rPr>
          <w:color w:val="auto"/>
          <w:highlight w:val="none"/>
        </w:rPr>
      </w:r>
      <w:r>
        <w:rPr>
          <w:color w:val="auto"/>
          <w:highlight w:val="none"/>
        </w:rPr>
      </w:r>
      <w:r/>
    </w:p>
    <w:p>
      <w:pPr>
        <w:pStyle w:val="1173"/>
        <w:ind w:firstLine="0"/>
        <w:rPr>
          <w:color w:val="auto"/>
          <w:highlight w:val="none"/>
        </w:rPr>
      </w:pPr>
      <w:r>
        <w:rPr>
          <w:color w:val="auto"/>
          <w:highlight w:val="none"/>
        </w:rPr>
      </w:r>
      <w:r>
        <w:rPr>
          <w:color w:val="auto"/>
          <w:highlight w:val="none"/>
        </w:rPr>
      </w:r>
      <w:r/>
    </w:p>
    <w:p>
      <w:pPr>
        <w:pStyle w:val="1173"/>
        <w:ind w:firstLine="0"/>
        <w:rPr>
          <w:color w:val="auto"/>
          <w:highlight w:val="none"/>
        </w:rPr>
      </w:pPr>
      <w:r>
        <w:rPr>
          <w:color w:val="auto"/>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rPr>
          <w:rFonts w:ascii="宋体" w:hAnsi="宋体" w:cs="宋体"/>
          <w:b/>
          <w:bCs/>
          <w:color w:val="auto"/>
          <w:szCs w:val="21"/>
          <w:highlight w:val="none"/>
        </w:rPr>
      </w:pPr>
      <w:r>
        <w:rPr>
          <w:rFonts w:ascii="宋体" w:hAnsi="宋体" w:cs="宋体"/>
          <w:b/>
          <w:bCs/>
          <w:color w:val="auto"/>
          <w:szCs w:val="21"/>
          <w:highlight w:val="none"/>
        </w:rPr>
      </w:r>
      <w:r/>
    </w:p>
    <w:p>
      <w:pPr>
        <w:rPr>
          <w:rFonts w:ascii="宋体" w:hAnsi="宋体"/>
          <w:b/>
          <w:bCs/>
          <w:color w:val="auto"/>
          <w:szCs w:val="21"/>
          <w:highlight w:val="none"/>
        </w:rPr>
      </w:pPr>
      <w:r>
        <w:rPr>
          <w:rFonts w:hint="eastAsia" w:ascii="宋体" w:hAnsi="宋体" w:cs="宋体"/>
          <w:b/>
          <w:bCs/>
          <w:color w:val="auto"/>
          <w:szCs w:val="21"/>
          <w:highlight w:val="none"/>
        </w:rPr>
        <w:t xml:space="preserve"> </w:t>
      </w:r>
      <w:bookmarkStart w:id="179" w:name="_Toc456102124"/>
      <w:r/>
      <w:bookmarkStart w:id="180" w:name="_Toc456102501"/>
      <w:r/>
      <w:bookmarkStart w:id="181" w:name="_Toc433707803"/>
      <w:r/>
      <w:bookmarkStart w:id="182" w:name="_Toc456102678"/>
      <w:r>
        <w:rPr>
          <w:rFonts w:hint="eastAsia" w:ascii="宋体" w:hAnsi="宋体"/>
          <w:b/>
          <w:color w:val="auto"/>
          <w:szCs w:val="21"/>
          <w:highlight w:val="none"/>
        </w:rPr>
        <w:t xml:space="preserve">附件12：</w:t>
      </w:r>
      <w:bookmarkEnd w:id="179"/>
      <w:r/>
      <w:bookmarkEnd w:id="180"/>
      <w:r/>
      <w:bookmarkEnd w:id="181"/>
      <w:r/>
      <w:bookmarkEnd w:id="182"/>
      <w:r/>
      <w:r/>
    </w:p>
    <w:p>
      <w:pPr>
        <w:ind w:firstLine="560"/>
        <w:spacing w:line="360" w:lineRule="auto"/>
        <w:rPr>
          <w:rFonts w:ascii="宋体" w:hAnsi="宋体"/>
          <w:color w:val="auto"/>
          <w:sz w:val="28"/>
          <w:szCs w:val="28"/>
          <w:highlight w:val="none"/>
        </w:rPr>
      </w:pPr>
      <w:r>
        <w:rPr>
          <w:rFonts w:ascii="宋体" w:hAnsi="宋体"/>
          <w:color w:val="auto"/>
          <w:sz w:val="28"/>
          <w:szCs w:val="28"/>
          <w:highlight w:val="none"/>
        </w:rPr>
      </w:r>
      <w:r/>
    </w:p>
    <w:p>
      <w:pPr>
        <w:ind w:firstLine="562"/>
        <w:jc w:val="center"/>
        <w:spacing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承诺书</w:t>
      </w:r>
      <w:r/>
    </w:p>
    <w:p>
      <w:pPr>
        <w:spacing w:line="400" w:lineRule="exact"/>
        <w:rPr>
          <w:rFonts w:ascii="宋体" w:hAnsi="宋体" w:cs="宋体"/>
          <w:color w:val="auto"/>
          <w:highlight w:val="none"/>
        </w:rPr>
      </w:pPr>
      <w:r>
        <w:rPr>
          <w:rFonts w:hint="eastAsia" w:ascii="宋体" w:hAnsi="宋体" w:cs="宋体"/>
          <w:color w:val="auto"/>
          <w:highlight w:val="none"/>
          <w:u w:val="single"/>
        </w:rPr>
        <w:t xml:space="preserve">采购人名称</w:t>
      </w:r>
      <w:r>
        <w:rPr>
          <w:rFonts w:hint="eastAsia" w:ascii="宋体" w:hAnsi="宋体" w:cs="宋体"/>
          <w:color w:val="auto"/>
          <w:highlight w:val="none"/>
        </w:rPr>
        <w:t xml:space="preserve">：</w:t>
      </w:r>
      <w:r/>
    </w:p>
    <w:p>
      <w:pPr>
        <w:ind w:firstLine="520"/>
        <w:spacing w:line="500" w:lineRule="exact"/>
        <w:rPr>
          <w:rFonts w:ascii="宋体" w:hAnsi="宋体" w:cs="宋体"/>
          <w:color w:val="auto"/>
          <w:highlight w:val="none"/>
        </w:rPr>
      </w:pPr>
      <w:r>
        <w:rPr>
          <w:rFonts w:hint="eastAsia" w:ascii="宋体" w:hAnsi="宋体" w:cs="宋体"/>
          <w:color w:val="auto"/>
          <w:highlight w:val="none"/>
        </w:rPr>
        <w:t xml:space="preserve">我单位郑重承诺以下事项：</w:t>
      </w:r>
      <w:r/>
    </w:p>
    <w:p>
      <w:pPr>
        <w:ind w:firstLine="420"/>
        <w:spacing w:line="500" w:lineRule="exact"/>
        <w:rPr>
          <w:rFonts w:ascii="宋体" w:hAnsi="宋体" w:cs="宋体"/>
          <w:color w:val="auto"/>
          <w:highlight w:val="none"/>
        </w:rPr>
      </w:pPr>
      <w:r>
        <w:rPr>
          <w:rFonts w:hint="eastAsia" w:ascii="宋体" w:hAnsi="宋体" w:cs="宋体"/>
          <w:color w:val="auto"/>
          <w:highlight w:val="none"/>
        </w:rPr>
        <w:t xml:space="preserve">一、我单位同意并响应</w:t>
      </w:r>
      <w:r>
        <w:rPr>
          <w:rFonts w:hint="eastAsia" w:ascii="宋体" w:hAnsi="宋体" w:cs="宋体"/>
          <w:color w:val="auto"/>
          <w:highlight w:val="none"/>
          <w:u w:val="single"/>
        </w:rPr>
        <w:t xml:space="preserve"> </w:t>
      </w:r>
      <w:r>
        <w:rPr>
          <w:rFonts w:ascii="宋体" w:hAnsi="宋体" w:cs="宋体"/>
          <w:color w:val="auto"/>
          <w:highlight w:val="none"/>
          <w:u w:val="single"/>
        </w:rPr>
        <w:t xml:space="preserve">   </w:t>
      </w:r>
      <w:r>
        <w:rPr>
          <w:rFonts w:hint="eastAsia" w:ascii="宋体" w:hAnsi="宋体" w:cs="宋体"/>
          <w:color w:val="auto"/>
          <w:highlight w:val="none"/>
          <w:u w:val="single"/>
        </w:rPr>
        <w:t xml:space="preserve">  </w:t>
      </w:r>
      <w:r>
        <w:rPr>
          <w:rFonts w:ascii="宋体" w:hAnsi="宋体" w:cs="宋体"/>
          <w:color w:val="auto"/>
          <w:highlight w:val="none"/>
          <w:u w:val="single"/>
        </w:rPr>
        <w:t xml:space="preserve">     </w:t>
      </w:r>
      <w:r>
        <w:rPr>
          <w:rFonts w:hint="eastAsia" w:ascii="宋体" w:hAnsi="宋体" w:cs="宋体"/>
          <w:color w:val="auto"/>
          <w:highlight w:val="none"/>
        </w:rPr>
        <w:t xml:space="preserve">项目（项目编号为：</w:t>
      </w:r>
      <w:r>
        <w:rPr>
          <w:rFonts w:hint="eastAsia" w:ascii="宋体" w:hAnsi="宋体" w:cs="宋体"/>
          <w:color w:val="auto"/>
          <w:highlight w:val="none"/>
          <w:u w:val="single"/>
        </w:rPr>
        <w:t xml:space="preserve"> </w:t>
      </w:r>
      <w:r>
        <w:rPr>
          <w:rFonts w:ascii="宋体" w:hAnsi="宋体" w:cs="宋体"/>
          <w:color w:val="auto"/>
          <w:highlight w:val="none"/>
          <w:u w:val="single"/>
        </w:rPr>
        <w:t xml:space="preserve">       </w:t>
      </w:r>
      <w:r>
        <w:rPr>
          <w:rFonts w:hint="eastAsia" w:ascii="宋体" w:hAnsi="宋体" w:cs="宋体"/>
          <w:color w:val="auto"/>
          <w:highlight w:val="none"/>
        </w:rPr>
        <w:t xml:space="preserve">）招标磋商文件的所有内容。</w:t>
      </w:r>
      <w:r/>
    </w:p>
    <w:p>
      <w:pPr>
        <w:spacing w:line="360" w:lineRule="auto"/>
        <w:rPr>
          <w:rFonts w:ascii="宋体" w:hAnsi="宋体" w:cs="宋体"/>
          <w:color w:val="auto"/>
          <w:highlight w:val="none"/>
        </w:rPr>
      </w:pPr>
      <w:r>
        <w:rPr>
          <w:rFonts w:hint="eastAsia" w:ascii="宋体" w:hAnsi="宋体" w:cs="宋体"/>
          <w:color w:val="auto"/>
          <w:highlight w:val="none"/>
        </w:rPr>
        <w:t xml:space="preserve">    二、我单位提供的服务内容及服务质量完全响应磋商文件要求。如我方未能及时响应上述要求,则采购人有权对我方进行处罚直至解除合同。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三、我单位未被“信用中国”网站（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color w:val="auto"/>
          <w:highlight w:val="none"/>
        </w:rPr>
        <w:t xml:space="preserve">www.creditchina.gov.cn</w:t>
      </w:r>
      <w:r>
        <w:rPr>
          <w:rFonts w:hint="eastAsia" w:ascii="宋体" w:hAnsi="宋体" w:cs="宋体"/>
          <w:color w:val="auto"/>
          <w:highlight w:val="none"/>
        </w:rPr>
        <w:fldChar w:fldCharType="end"/>
      </w:r>
      <w:r>
        <w:rPr>
          <w:rFonts w:hint="eastAsia" w:ascii="宋体" w:hAnsi="宋体" w:cs="宋体"/>
          <w:color w:val="auto"/>
          <w:highlight w:val="none"/>
        </w:rPr>
        <w:t xml:space="preserve">）列入失信被执行人、重大税收违法案件当事人名单、政府采购严重违法失信行为记录名单。</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四、如在履约过程中造成任何损失，由我方全部承担赔偿。</w:t>
      </w:r>
      <w:r/>
    </w:p>
    <w:p>
      <w:pPr>
        <w:spacing w:line="400" w:lineRule="exact"/>
        <w:rPr>
          <w:rFonts w:ascii="宋体" w:hAnsi="宋体" w:cs="宋体"/>
          <w:color w:val="auto"/>
          <w:highlight w:val="none"/>
        </w:rPr>
      </w:pPr>
      <w:r>
        <w:rPr>
          <w:rFonts w:ascii="宋体" w:hAnsi="宋体" w:cs="宋体"/>
          <w:color w:val="auto"/>
          <w:highlight w:val="none"/>
        </w:rPr>
      </w:r>
      <w:r/>
    </w:p>
    <w:p>
      <w:pPr>
        <w:spacing w:line="400" w:lineRule="exact"/>
        <w:rPr>
          <w:rFonts w:ascii="宋体" w:hAnsi="宋体" w:cs="宋体"/>
          <w:color w:val="auto"/>
          <w:highlight w:val="none"/>
        </w:rPr>
      </w:pPr>
      <w:r>
        <w:rPr>
          <w:rFonts w:hint="eastAsia" w:ascii="宋体" w:hAnsi="宋体" w:cs="宋体"/>
          <w:color w:val="auto"/>
          <w:highlight w:val="none"/>
        </w:rPr>
        <w:t xml:space="preserve">         特此承诺</w:t>
      </w:r>
      <w:r/>
    </w:p>
    <w:p>
      <w:pPr>
        <w:pStyle w:val="1173"/>
        <w:ind w:firstLine="422"/>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1173"/>
        <w:ind w:firstLine="422"/>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1174"/>
        <w:rPr>
          <w:color w:val="auto"/>
          <w:highlight w:val="none"/>
        </w:rPr>
      </w:pPr>
      <w:r>
        <w:rPr>
          <w:color w:val="auto"/>
          <w:highlight w:val="none"/>
        </w:rPr>
      </w:r>
      <w:r/>
    </w:p>
    <w:p>
      <w:pPr>
        <w:pStyle w:val="1173"/>
        <w:jc w:val="right"/>
        <w:rPr>
          <w:rFonts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供应商（加盖CA电子公章）：</w:t>
      </w:r>
      <w:r/>
    </w:p>
    <w:p>
      <w:pPr>
        <w:pStyle w:val="1173"/>
        <w:jc w:val="right"/>
        <w:rPr>
          <w:rFonts w:ascii="宋体" w:hAnsi="宋体" w:eastAsia="宋体" w:cs="宋体"/>
          <w:color w:val="auto"/>
          <w:sz w:val="21"/>
          <w:szCs w:val="24"/>
          <w:highlight w:val="none"/>
        </w:rPr>
      </w:pPr>
      <w:r>
        <w:rPr>
          <w:rFonts w:ascii="宋体" w:hAnsi="宋体" w:eastAsia="宋体" w:cs="宋体"/>
          <w:color w:val="auto"/>
          <w:sz w:val="21"/>
          <w:szCs w:val="24"/>
          <w:highlight w:val="none"/>
        </w:rPr>
      </w:r>
      <w:r/>
    </w:p>
    <w:p>
      <w:pPr>
        <w:pStyle w:val="1173"/>
        <w:jc w:val="right"/>
        <w:rPr>
          <w:rFonts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法定代表人或授权代表（签字或盖章）：</w:t>
      </w:r>
      <w:r/>
    </w:p>
    <w:p>
      <w:pPr>
        <w:pStyle w:val="1173"/>
        <w:jc w:val="right"/>
        <w:rPr>
          <w:rFonts w:ascii="宋体" w:hAnsi="宋体" w:eastAsia="宋体" w:cs="宋体"/>
          <w:color w:val="auto"/>
          <w:sz w:val="21"/>
          <w:szCs w:val="24"/>
          <w:highlight w:val="none"/>
        </w:rPr>
      </w:pPr>
      <w:r>
        <w:rPr>
          <w:rFonts w:ascii="宋体" w:hAnsi="宋体" w:eastAsia="宋体" w:cs="宋体"/>
          <w:color w:val="auto"/>
          <w:sz w:val="21"/>
          <w:szCs w:val="24"/>
          <w:highlight w:val="none"/>
        </w:rPr>
      </w:r>
      <w:r/>
    </w:p>
    <w:p>
      <w:pPr>
        <w:pStyle w:val="1173"/>
        <w:jc w:val="right"/>
        <w:rPr>
          <w:rFonts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b/>
          <w:bCs/>
          <w:color w:val="auto"/>
          <w:highlight w:val="none"/>
        </w:rPr>
      </w:pPr>
      <w:r>
        <w:rPr>
          <w:rFonts w:hint="eastAsia" w:ascii="宋体" w:hAnsi="宋体"/>
          <w:b/>
          <w:color w:val="auto"/>
          <w:szCs w:val="21"/>
          <w:highlight w:val="none"/>
        </w:rPr>
        <w:t xml:space="preserve">附件13：</w:t>
      </w:r>
      <w:r>
        <w:rPr>
          <w:b/>
          <w:bCs/>
          <w:color w:val="auto"/>
          <w:highlight w:val="none"/>
        </w:rPr>
        <w:t xml:space="preserve">本项目要求的其他资料</w:t>
      </w:r>
      <w:r/>
    </w:p>
    <w:p>
      <w:pPr>
        <w:ind w:firstLine="630"/>
        <w:rPr>
          <w:color w:val="auto"/>
          <w:highlight w:val="none"/>
        </w:rPr>
      </w:pPr>
      <w:r>
        <w:rPr>
          <w:color w:val="auto"/>
          <w:highlight w:val="none"/>
        </w:rPr>
      </w:r>
      <w:r/>
    </w:p>
    <w:p>
      <w:pPr>
        <w:ind w:firstLine="630"/>
        <w:spacing w:line="360" w:lineRule="auto"/>
        <w:rPr>
          <w:rFonts w:ascii="宋体" w:hAnsi="宋体"/>
          <w:color w:val="auto"/>
          <w:highlight w:val="none"/>
        </w:rPr>
      </w:pPr>
      <w:r>
        <w:rPr>
          <w:rFonts w:hint="eastAsia" w:ascii="宋体" w:hAnsi="宋体"/>
          <w:color w:val="auto"/>
          <w:highlight w:val="none"/>
        </w:rPr>
        <w:t xml:space="preserve">1.供应商认为有必要提供的其他证明材料（如有自拟并自行添加）。</w:t>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pStyle w:val="1204"/>
        <w:jc w:val="center"/>
        <w:rPr>
          <w:b/>
          <w:bCs/>
          <w:color w:val="auto"/>
          <w:highlight w:val="none"/>
        </w:rPr>
      </w:pPr>
      <w:r>
        <w:rPr>
          <w:b/>
          <w:bCs/>
          <w:color w:val="auto"/>
          <w:highlight w:val="none"/>
        </w:rPr>
        <w:t xml:space="preserve">质疑函范本</w:t>
      </w:r>
      <w:r/>
    </w:p>
    <w:p>
      <w:pPr>
        <w:pStyle w:val="1204"/>
        <w:rPr>
          <w:color w:val="auto"/>
          <w:highlight w:val="none"/>
        </w:rPr>
      </w:pPr>
      <w:r>
        <w:rPr>
          <w:color w:val="auto"/>
          <w:highlight w:val="none"/>
        </w:rPr>
        <w:t xml:space="preserve">一、质疑供应商基本信息</w:t>
      </w:r>
      <w:r/>
    </w:p>
    <w:p>
      <w:pPr>
        <w:pStyle w:val="1204"/>
        <w:rPr>
          <w:color w:val="auto"/>
          <w:highlight w:val="none"/>
        </w:rPr>
      </w:pPr>
      <w:r>
        <w:rPr>
          <w:color w:val="auto"/>
          <w:highlight w:val="none"/>
        </w:rPr>
        <w:t xml:space="preserve">质疑供应商：                                                              </w:t>
      </w:r>
      <w:r/>
    </w:p>
    <w:p>
      <w:pPr>
        <w:pStyle w:val="1204"/>
        <w:rPr>
          <w:color w:val="auto"/>
          <w:highlight w:val="none"/>
        </w:rPr>
      </w:pPr>
      <w:r>
        <w:rPr>
          <w:color w:val="auto"/>
          <w:highlight w:val="none"/>
        </w:rPr>
        <w:t xml:space="preserve">地址：                             邮编：                                    </w:t>
      </w:r>
      <w:r/>
    </w:p>
    <w:p>
      <w:pPr>
        <w:pStyle w:val="1204"/>
        <w:rPr>
          <w:color w:val="auto"/>
          <w:highlight w:val="none"/>
        </w:rPr>
      </w:pPr>
      <w:r>
        <w:rPr>
          <w:color w:val="auto"/>
          <w:highlight w:val="none"/>
        </w:rPr>
        <w:t xml:space="preserve">联系人：                      联系电话：                                       </w:t>
      </w:r>
      <w:r/>
    </w:p>
    <w:p>
      <w:pPr>
        <w:pStyle w:val="1204"/>
        <w:rPr>
          <w:color w:val="auto"/>
          <w:highlight w:val="none"/>
        </w:rPr>
      </w:pPr>
      <w:r>
        <w:rPr>
          <w:color w:val="auto"/>
          <w:highlight w:val="none"/>
        </w:rPr>
        <w:t xml:space="preserve">授权代表：                                                                 </w:t>
      </w:r>
      <w:r/>
    </w:p>
    <w:p>
      <w:pPr>
        <w:pStyle w:val="1204"/>
        <w:rPr>
          <w:color w:val="auto"/>
          <w:highlight w:val="none"/>
        </w:rPr>
      </w:pPr>
      <w:r>
        <w:rPr>
          <w:color w:val="auto"/>
          <w:highlight w:val="none"/>
        </w:rPr>
        <w:t xml:space="preserve">联系电话：                                                                </w:t>
      </w:r>
      <w:r/>
    </w:p>
    <w:p>
      <w:pPr>
        <w:pStyle w:val="1204"/>
        <w:rPr>
          <w:color w:val="auto"/>
          <w:highlight w:val="none"/>
        </w:rPr>
      </w:pPr>
      <w:r>
        <w:rPr>
          <w:color w:val="auto"/>
          <w:highlight w:val="none"/>
        </w:rPr>
        <w:t xml:space="preserve">地址：                         邮编：                                     </w:t>
      </w:r>
      <w:r/>
    </w:p>
    <w:p>
      <w:pPr>
        <w:pStyle w:val="1204"/>
        <w:rPr>
          <w:color w:val="auto"/>
          <w:highlight w:val="none"/>
        </w:rPr>
      </w:pPr>
      <w:r>
        <w:rPr>
          <w:color w:val="auto"/>
          <w:highlight w:val="none"/>
        </w:rPr>
        <w:t xml:space="preserve">二、质疑项目基本情况</w:t>
      </w:r>
      <w:r/>
    </w:p>
    <w:p>
      <w:pPr>
        <w:pStyle w:val="1204"/>
        <w:rPr>
          <w:color w:val="auto"/>
          <w:highlight w:val="none"/>
        </w:rPr>
      </w:pPr>
      <w:r>
        <w:rPr>
          <w:color w:val="auto"/>
          <w:highlight w:val="none"/>
        </w:rPr>
        <w:t xml:space="preserve">质疑项目的名称：                                                          </w:t>
      </w:r>
      <w:r/>
    </w:p>
    <w:p>
      <w:pPr>
        <w:pStyle w:val="1204"/>
        <w:rPr>
          <w:color w:val="auto"/>
          <w:highlight w:val="none"/>
        </w:rPr>
      </w:pPr>
      <w:r>
        <w:rPr>
          <w:color w:val="auto"/>
          <w:highlight w:val="none"/>
        </w:rPr>
        <w:t xml:space="preserve">质疑项目的编号：                         包号：                           </w:t>
      </w:r>
      <w:r/>
    </w:p>
    <w:p>
      <w:pPr>
        <w:pStyle w:val="1204"/>
        <w:rPr>
          <w:color w:val="auto"/>
          <w:highlight w:val="none"/>
        </w:rPr>
      </w:pPr>
      <w:r>
        <w:rPr>
          <w:color w:val="auto"/>
          <w:highlight w:val="none"/>
        </w:rPr>
        <w:t xml:space="preserve">采购人名称：                                                              </w:t>
      </w:r>
      <w:r/>
    </w:p>
    <w:p>
      <w:pPr>
        <w:pStyle w:val="1204"/>
        <w:rPr>
          <w:color w:val="auto"/>
          <w:highlight w:val="none"/>
        </w:rPr>
      </w:pPr>
      <w:r>
        <w:rPr>
          <w:color w:val="auto"/>
          <w:highlight w:val="none"/>
        </w:rPr>
        <w:t xml:space="preserve">采购文件获取日期：                                                        </w:t>
      </w:r>
      <w:r/>
    </w:p>
    <w:p>
      <w:pPr>
        <w:pStyle w:val="1204"/>
        <w:rPr>
          <w:color w:val="auto"/>
          <w:highlight w:val="none"/>
        </w:rPr>
      </w:pPr>
      <w:r>
        <w:rPr>
          <w:color w:val="auto"/>
          <w:highlight w:val="none"/>
        </w:rPr>
        <w:t xml:space="preserve">三、质疑事项具体内容</w:t>
      </w:r>
      <w:r/>
    </w:p>
    <w:p>
      <w:pPr>
        <w:pStyle w:val="1204"/>
        <w:rPr>
          <w:color w:val="auto"/>
          <w:highlight w:val="none"/>
        </w:rPr>
      </w:pPr>
      <w:r>
        <w:rPr>
          <w:color w:val="auto"/>
          <w:highlight w:val="none"/>
        </w:rPr>
        <w:t xml:space="preserve">质疑事项1：                                                              </w:t>
      </w:r>
      <w:r/>
    </w:p>
    <w:p>
      <w:pPr>
        <w:pStyle w:val="1204"/>
        <w:rPr>
          <w:color w:val="auto"/>
          <w:highlight w:val="none"/>
        </w:rPr>
      </w:pPr>
      <w:r>
        <w:rPr>
          <w:color w:val="auto"/>
          <w:highlight w:val="none"/>
        </w:rPr>
        <w:t xml:space="preserve">事实依据：                                                                                                                                        </w:t>
      </w:r>
      <w:r/>
    </w:p>
    <w:p>
      <w:pPr>
        <w:pStyle w:val="1204"/>
        <w:rPr>
          <w:color w:val="auto"/>
          <w:highlight w:val="none"/>
        </w:rPr>
      </w:pPr>
      <w:r>
        <w:rPr>
          <w:color w:val="auto"/>
          <w:highlight w:val="none"/>
        </w:rPr>
        <w:t xml:space="preserve">法律依据：                                                                                                                                          </w:t>
      </w:r>
      <w:r/>
    </w:p>
    <w:p>
      <w:pPr>
        <w:pStyle w:val="1204"/>
        <w:rPr>
          <w:color w:val="auto"/>
          <w:highlight w:val="none"/>
        </w:rPr>
      </w:pPr>
      <w:r>
        <w:rPr>
          <w:color w:val="auto"/>
          <w:highlight w:val="none"/>
        </w:rPr>
        <w:t xml:space="preserve">质疑事项2</w:t>
      </w:r>
      <w:r/>
    </w:p>
    <w:p>
      <w:pPr>
        <w:pStyle w:val="1204"/>
        <w:rPr>
          <w:color w:val="auto"/>
          <w:highlight w:val="none"/>
        </w:rPr>
      </w:pPr>
      <w:r>
        <w:rPr>
          <w:color w:val="auto"/>
          <w:highlight w:val="none"/>
        </w:rPr>
        <w:t xml:space="preserve">……</w:t>
      </w:r>
      <w:r/>
    </w:p>
    <w:p>
      <w:pPr>
        <w:pStyle w:val="1204"/>
        <w:rPr>
          <w:color w:val="auto"/>
          <w:highlight w:val="none"/>
        </w:rPr>
      </w:pPr>
      <w:r>
        <w:rPr>
          <w:color w:val="auto"/>
          <w:highlight w:val="none"/>
        </w:rPr>
        <w:t xml:space="preserve">四、与质疑事项相关的质疑请求</w:t>
      </w:r>
      <w:r/>
    </w:p>
    <w:p>
      <w:pPr>
        <w:pStyle w:val="1204"/>
        <w:rPr>
          <w:color w:val="auto"/>
          <w:highlight w:val="none"/>
        </w:rPr>
      </w:pPr>
      <w:r>
        <w:rPr>
          <w:color w:val="auto"/>
          <w:highlight w:val="none"/>
        </w:rPr>
        <w:t xml:space="preserve">请求：                                                                     </w:t>
      </w:r>
      <w:r/>
    </w:p>
    <w:p>
      <w:pPr>
        <w:pStyle w:val="1204"/>
        <w:rPr>
          <w:color w:val="auto"/>
          <w:highlight w:val="none"/>
        </w:rPr>
      </w:pPr>
      <w:r>
        <w:rPr>
          <w:color w:val="auto"/>
          <w:highlight w:val="none"/>
        </w:rPr>
        <w:t xml:space="preserve">签字(</w:t>
      </w:r>
      <w:r>
        <w:rPr>
          <w:rFonts w:hint="eastAsia"/>
          <w:color w:val="auto"/>
          <w:highlight w:val="none"/>
        </w:rPr>
        <w:t xml:space="preserve">签字或盖章</w:t>
      </w:r>
      <w:r>
        <w:rPr>
          <w:color w:val="auto"/>
          <w:highlight w:val="none"/>
        </w:rPr>
        <w:t xml:space="preserve">)：                   公章：                      </w:t>
      </w:r>
      <w:r/>
    </w:p>
    <w:p>
      <w:pPr>
        <w:pStyle w:val="1204"/>
        <w:rPr>
          <w:color w:val="auto"/>
          <w:highlight w:val="none"/>
        </w:rPr>
      </w:pPr>
      <w:r>
        <w:rPr>
          <w:color w:val="auto"/>
          <w:highlight w:val="none"/>
        </w:rPr>
        <w:t xml:space="preserve">日期：    </w:t>
      </w:r>
      <w:r/>
    </w:p>
    <w:p>
      <w:pPr>
        <w:pStyle w:val="1204"/>
        <w:rPr>
          <w:color w:val="auto"/>
          <w:highlight w:val="none"/>
        </w:rPr>
      </w:pPr>
      <w:r>
        <w:rPr>
          <w:color w:val="auto"/>
          <w:highlight w:val="none"/>
        </w:rPr>
      </w:r>
      <w:r/>
    </w:p>
    <w:p>
      <w:pPr>
        <w:pStyle w:val="1204"/>
        <w:rPr>
          <w:color w:val="auto"/>
          <w:highlight w:val="none"/>
        </w:rPr>
      </w:pPr>
      <w:r>
        <w:rPr>
          <w:color w:val="auto"/>
          <w:highlight w:val="none"/>
        </w:rPr>
        <w:t xml:space="preserve">质疑函制作说明：</w:t>
      </w:r>
      <w:r/>
    </w:p>
    <w:p>
      <w:pPr>
        <w:pStyle w:val="1204"/>
        <w:rPr>
          <w:color w:val="auto"/>
          <w:highlight w:val="none"/>
        </w:rPr>
      </w:pPr>
      <w:r>
        <w:rPr>
          <w:color w:val="auto"/>
          <w:highlight w:val="none"/>
        </w:rPr>
        <w:t xml:space="preserve">1.供应商提出质疑时，应提交质疑函和必要的证明材料。</w:t>
      </w:r>
      <w:r/>
    </w:p>
    <w:p>
      <w:pPr>
        <w:pStyle w:val="1204"/>
        <w:rPr>
          <w:color w:val="auto"/>
          <w:highlight w:val="none"/>
        </w:rPr>
      </w:pPr>
      <w:r>
        <w:rPr>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204"/>
        <w:rPr>
          <w:color w:val="auto"/>
          <w:highlight w:val="none"/>
        </w:rPr>
      </w:pPr>
      <w:r>
        <w:rPr>
          <w:color w:val="auto"/>
          <w:highlight w:val="none"/>
        </w:rPr>
        <w:t xml:space="preserve">3.质疑供应商若对项目的某一分包进行质疑，质疑函中应列明具体分包号。</w:t>
      </w:r>
      <w:r/>
    </w:p>
    <w:p>
      <w:pPr>
        <w:pStyle w:val="1204"/>
        <w:rPr>
          <w:color w:val="auto"/>
          <w:highlight w:val="none"/>
        </w:rPr>
      </w:pPr>
      <w:r>
        <w:rPr>
          <w:color w:val="auto"/>
          <w:highlight w:val="none"/>
        </w:rPr>
        <w:t xml:space="preserve">4.质疑函的质疑事项应具体、明确，并有必要的事实依据和法律依据。</w:t>
      </w:r>
      <w:r/>
    </w:p>
    <w:p>
      <w:pPr>
        <w:pStyle w:val="1204"/>
        <w:rPr>
          <w:color w:val="auto"/>
          <w:highlight w:val="none"/>
        </w:rPr>
      </w:pPr>
      <w:r>
        <w:rPr>
          <w:color w:val="auto"/>
          <w:highlight w:val="none"/>
        </w:rPr>
        <w:t xml:space="preserve">5.质疑函的质疑请求应与质疑事项相关。</w:t>
      </w:r>
      <w:r/>
    </w:p>
    <w:p>
      <w:pPr>
        <w:pStyle w:val="1204"/>
        <w:rPr>
          <w:color w:val="auto"/>
          <w:highlight w:val="none"/>
        </w:rPr>
      </w:pPr>
      <w:r>
        <w:rPr>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630"/>
        <w:rPr>
          <w:color w:val="auto"/>
          <w:highlight w:val="none"/>
        </w:rPr>
      </w:pPr>
      <w:r>
        <w:rPr>
          <w:color w:val="auto"/>
          <w:highlight w:val="none"/>
        </w:rPr>
      </w:r>
      <w:r/>
    </w:p>
    <w:sectPr>
      <w:footerReference w:type="default" r:id="rId20"/>
      <w:footerReference w:type="first" r:id="rId21"/>
      <w:footnotePr/>
      <w:endnotePr/>
      <w:type w:val="nextPage"/>
      <w:pgSz w:w="11906" w:h="16838" w:orient="portrait"/>
      <w:pgMar w:top="1015" w:right="1196" w:bottom="868" w:left="1259"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微软雅黑">
    <w:panose1 w:val="020B0503020204020204"/>
  </w:font>
  <w:font w:name="Calibri">
    <w:panose1 w:val="020F0502020204030204"/>
  </w:font>
  <w:font w:name="仿宋">
    <w:panose1 w:val="02010609060101010101"/>
  </w:font>
  <w:font w:name="等线 Light">
    <w:panose1 w:val="02010600030101010101"/>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jc w:val="both"/>
    </w:pPr>
    <w:r/>
    <w:r/>
  </w:p>
  <w:p>
    <w:pPr>
      <w:pStyle w:val="116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jc w:val="both"/>
    </w:pPr>
    <w:r/>
    <w:r/>
  </w:p>
  <w:p>
    <w:pPr>
      <w:pStyle w:val="116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24531" cy="131433"/>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124531" cy="131433"/>
                      </a:xfrm>
                      <a:prstGeom prst="rect">
                        <a:avLst/>
                      </a:prstGeom>
                      <a:noFill/>
                      <a:ln>
                        <a:noFill/>
                      </a:ln>
                    </wps:spPr>
                    <wps:txbx>
                      <w:txbxContent>
                        <w:p>
                          <w:pPr>
                            <w:pStyle w:val="1165"/>
                          </w:pPr>
                          <w:r>
                            <w:fldChar w:fldCharType="begin"/>
                          </w:r>
                          <w:r>
                            <w:instrText xml:space="preserve"> PAGE  \* MERGEFORMAT </w:instrText>
                          </w:r>
                          <w:r>
                            <w:fldChar w:fldCharType="separate"/>
                          </w:r>
                          <w:r>
                            <w:t xml:space="preserve">1</w:t>
                          </w:r>
                          <w: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8pt;height:10.3pt;mso-wrap-distance-left:9.0pt;mso-wrap-distance-top:0.0pt;mso-wrap-distance-right:9.0pt;mso-wrap-distance-bottom:0.0pt;visibility:visible;" filled="f" stroked="f">
              <v:textbox inset="0,0,0,0">
                <w:txbxContent>
                  <w:p>
                    <w:pPr>
                      <w:pStyle w:val="116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16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37820" cy="214947"/>
              <wp:effectExtent l="6350" t="6350" r="6350" b="6350"/>
              <wp:wrapNone/>
              <wp:docPr id="2" name=""/>
              <wp:cNvGraphicFramePr/>
              <a:graphic xmlns:a="http://schemas.openxmlformats.org/drawingml/2006/main">
                <a:graphicData uri="http://schemas.microsoft.com/office/word/2010/wordprocessingShape">
                  <wps:wsp>
                    <wps:cNvPr id="0" name=""/>
                    <wps:cNvSpPr txBox="1"/>
                    <wps:spPr bwMode="auto">
                      <a:xfrm flipH="0" flipV="0">
                        <a:off x="0" y="0"/>
                        <a:ext cx="137819" cy="214946"/>
                      </a:xfrm>
                      <a:prstGeom prst="rect">
                        <a:avLst/>
                      </a:prstGeom>
                      <a:noFill/>
                      <a:ln>
                        <a:noFill/>
                      </a:ln>
                    </wps:spPr>
                    <wps:txbx>
                      <w:txbxContent>
                        <w:p>
                          <w:pPr>
                            <w:pStyle w:val="1165"/>
                          </w:pPr>
                          <w:r>
                            <w:fldChar w:fldCharType="begin"/>
                          </w:r>
                          <w:r>
                            <w:instrText xml:space="preserve"> PAGE  \* MERGEFORMAT </w:instrText>
                          </w:r>
                          <w:r>
                            <w:fldChar w:fldCharType="separate"/>
                          </w:r>
                          <w:r>
                            <w:t xml:space="preserve">39</w:t>
                          </w:r>
                          <w:r>
                            <w:fldChar w:fldCharType="end"/>
                          </w:r>
                          <w:r/>
                        </w:p>
                      </w:txbxContent>
                    </wps:txbx>
                    <wps:bodyPr wrap="square" lIns="0" tIns="0" rIns="0" bIns="0" upright="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0.9pt;height:16.9pt;mso-wrap-distance-left:9.0pt;mso-wrap-distance-top:0.0pt;mso-wrap-distance-right:9.0pt;mso-wrap-distance-bottom:0.0pt;visibility:visible;" filled="f" stroked="f">
              <v:textbox inset="0,0,0,0">
                <w:txbxContent>
                  <w:p>
                    <w:pPr>
                      <w:pStyle w:val="1165"/>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ind w:firstLine="46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56997" cy="131433"/>
              <wp:effectExtent l="6350" t="6350" r="6350" b="6350"/>
              <wp:wrapNone/>
              <wp:docPr id="3" name=""/>
              <wp:cNvGraphicFramePr/>
              <a:graphic xmlns:a="http://schemas.openxmlformats.org/drawingml/2006/main">
                <a:graphicData uri="http://schemas.microsoft.com/office/word/2010/wordprocessingShape">
                  <wps:wsp>
                    <wps:cNvPr id="0" name=""/>
                    <wps:cNvSpPr txBox="1"/>
                    <wps:spPr bwMode="auto">
                      <a:xfrm flipH="0" flipV="0">
                        <a:off x="0" y="0"/>
                        <a:ext cx="156997" cy="131433"/>
                      </a:xfrm>
                      <a:prstGeom prst="rect">
                        <a:avLst/>
                      </a:prstGeom>
                      <a:noFill/>
                      <a:ln>
                        <a:noFill/>
                      </a:ln>
                    </wps:spPr>
                    <wps:txbx>
                      <w:txbxContent>
                        <w:p>
                          <w:pPr>
                            <w:pStyle w:val="1165"/>
                          </w:pPr>
                          <w:r>
                            <w:fldChar w:fldCharType="begin"/>
                          </w:r>
                          <w:r>
                            <w:instrText xml:space="preserve"> PAGE  \* MERGEFORMAT </w:instrText>
                          </w:r>
                          <w:r>
                            <w:fldChar w:fldCharType="separate"/>
                          </w:r>
                          <w:r>
                            <w:t xml:space="preserve">38</w:t>
                          </w:r>
                          <w:r>
                            <w:fldChar w:fldCharType="end"/>
                          </w:r>
                          <w:r/>
                        </w:p>
                      </w:txbxContent>
                    </wps:txbx>
                    <wps:bodyPr wrap="square" lIns="0" tIns="0" rIns="0" bIns="0" upright="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2.4pt;height:10.3pt;mso-wrap-distance-left:9.0pt;mso-wrap-distance-top:0.0pt;mso-wrap-distance-right:9.0pt;mso-wrap-distance-bottom:0.0pt;visibility:visible;" filled="f" stroked="f">
              <v:textbox inset="0,0,0,0">
                <w:txbxContent>
                  <w:p>
                    <w:pPr>
                      <w:pStyle w:val="1165"/>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5"/>
                          </w:pPr>
                          <w:r>
                            <w:fldChar w:fldCharType="begin"/>
                          </w:r>
                          <w:r>
                            <w:instrText xml:space="preserve"> PAGE  \* MERGEFORMAT </w:instrText>
                          </w:r>
                          <w:r>
                            <w:fldChar w:fldCharType="separate"/>
                          </w:r>
                          <w:r>
                            <w:t xml:space="preserve">46</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5"/>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ind w:firstLine="46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37820" cy="208554"/>
              <wp:effectExtent l="6350" t="6350" r="6350" b="6350"/>
              <wp:wrapNone/>
              <wp:docPr id="5" name=""/>
              <wp:cNvGraphicFramePr/>
              <a:graphic xmlns:a="http://schemas.openxmlformats.org/drawingml/2006/main">
                <a:graphicData uri="http://schemas.microsoft.com/office/word/2010/wordprocessingShape">
                  <wps:wsp>
                    <wps:cNvPr id="0" name=""/>
                    <wps:cNvSpPr txBox="1"/>
                    <wps:spPr bwMode="auto">
                      <a:xfrm flipH="0" flipV="0">
                        <a:off x="0" y="0"/>
                        <a:ext cx="137819" cy="208554"/>
                      </a:xfrm>
                      <a:prstGeom prst="rect">
                        <a:avLst/>
                      </a:prstGeom>
                      <a:noFill/>
                      <a:ln>
                        <a:noFill/>
                      </a:ln>
                    </wps:spPr>
                    <wps:txbx>
                      <w:txbxContent>
                        <w:p>
                          <w:pPr>
                            <w:pStyle w:val="1165"/>
                          </w:pPr>
                          <w:r>
                            <w:fldChar w:fldCharType="begin"/>
                          </w:r>
                          <w:r>
                            <w:instrText xml:space="preserve"> PAGE  \* MERGEFORMAT </w:instrText>
                          </w:r>
                          <w:r>
                            <w:fldChar w:fldCharType="separate"/>
                          </w:r>
                          <w:r>
                            <w:t xml:space="preserve">45</w:t>
                          </w:r>
                          <w:r>
                            <w:fldChar w:fldCharType="end"/>
                          </w:r>
                          <w:r/>
                        </w:p>
                      </w:txbxContent>
                    </wps:txbx>
                    <wps:bodyPr wrap="square" lIns="0" tIns="0" rIns="0" bIns="0" upright="1">
                      <a:no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0.9pt;height:16.4pt;mso-wrap-distance-left:9.0pt;mso-wrap-distance-top:0.0pt;mso-wrap-distance-right:9.0pt;mso-wrap-distance-bottom:0.0pt;visibility:visible;" filled="f" stroked="f">
              <v:textbox inset="0,0,0,0">
                <w:txbxContent>
                  <w:p>
                    <w:pPr>
                      <w:pStyle w:val="1165"/>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ind w:firstLine="46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5"/>
                          </w:pPr>
                          <w:r>
                            <w:fldChar w:fldCharType="begin"/>
                          </w:r>
                          <w:r>
                            <w:instrText xml:space="preserve"> PAGE  \* MERGEFORMAT </w:instrText>
                          </w:r>
                          <w:r>
                            <w:fldChar w:fldCharType="separate"/>
                          </w:r>
                          <w:r>
                            <w:t xml:space="preserve">48</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5"/>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5"/>
                          </w:pPr>
                          <w:r>
                            <w:fldChar w:fldCharType="begin"/>
                          </w:r>
                          <w:r>
                            <w:instrText xml:space="preserve"> PAGE  \* MERGEFORMAT </w:instrText>
                          </w:r>
                          <w:r>
                            <w:fldChar w:fldCharType="separate"/>
                          </w:r>
                          <w:r>
                            <w:t xml:space="preserve">50</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5"/>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ind w:firstLine="46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5"/>
                          </w:pPr>
                          <w:r>
                            <w:fldChar w:fldCharType="begin"/>
                          </w:r>
                          <w:r>
                            <w:instrText xml:space="preserve"> PAGE  \* MERGEFORMAT </w:instrText>
                          </w:r>
                          <w:r>
                            <w:fldChar w:fldCharType="separate"/>
                          </w:r>
                          <w:r>
                            <w:t xml:space="preserve">49</w:t>
                          </w:r>
                          <w:r>
                            <w:fldChar w:fldCharType="end"/>
                          </w:r>
                          <w:r/>
                        </w:p>
                      </w:txbxContent>
                    </wps:txbx>
                    <wps:bodyPr wrap="none" lIns="0" tIns="0" rIns="0" bIns="0" upright="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5"/>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jc w:val="both"/>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jc w:val="left"/>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pStyle w:val="1147"/>
      <w:isLgl w:val="false"/>
      <w:suff w:val="nothing"/>
      <w:lvlText w:val="%1、"/>
      <w:lvlJc w:val="left"/>
      <w:pPr>
        <w:ind w:left="0" w:firstLine="0"/>
      </w:pPr>
      <w:rPr>
        <w:rFonts w:hint="eastAsia"/>
      </w:rPr>
    </w:lvl>
    <w:lvl w:ilvl="1">
      <w:start w:val="1"/>
      <w:numFmt w:val="chineseCounting"/>
      <w:pStyle w:val="1148"/>
      <w:isLgl w:val="false"/>
      <w:suff w:val="nothing"/>
      <w:lvlText w:val="（%2）"/>
      <w:lvlJc w:val="left"/>
      <w:pPr>
        <w:ind w:left="0" w:firstLine="0"/>
      </w:pPr>
      <w:rPr>
        <w:rFonts w:hint="eastAsia"/>
      </w:rPr>
    </w:lvl>
    <w:lvl w:ilvl="2">
      <w:start w:val="1"/>
      <w:numFmt w:val="decimal"/>
      <w:pStyle w:val="1149"/>
      <w:isLgl w:val="false"/>
      <w:suff w:val="nothing"/>
      <w:lvlText w:val="%3．"/>
      <w:lvlJc w:val="left"/>
      <w:pPr>
        <w:ind w:left="0" w:firstLine="400"/>
      </w:pPr>
      <w:rPr>
        <w:rFonts w:hint="eastAsia"/>
      </w:rPr>
    </w:lvl>
    <w:lvl w:ilvl="3">
      <w:start w:val="1"/>
      <w:numFmt w:val="decimal"/>
      <w:pStyle w:val="1150"/>
      <w:isLgl w:val="false"/>
      <w:suff w:val="nothing"/>
      <w:lvlText w:val="（%4）"/>
      <w:lvlJc w:val="left"/>
      <w:pPr>
        <w:ind w:left="0" w:firstLine="402"/>
      </w:pPr>
      <w:rPr>
        <w:rFonts w:hint="eastAsia"/>
      </w:rPr>
    </w:lvl>
    <w:lvl w:ilvl="4">
      <w:start w:val="1"/>
      <w:numFmt w:val="decimalEnclosedCircleChinese"/>
      <w:pStyle w:val="1151"/>
      <w:isLgl w:val="false"/>
      <w:suff w:val="nothing"/>
      <w:lvlText w:val="%5"/>
      <w:lvlJc w:val="left"/>
      <w:pPr>
        <w:ind w:left="0" w:firstLine="402"/>
      </w:pPr>
      <w:rPr>
        <w:rFonts w:hint="eastAsia"/>
      </w:rPr>
    </w:lvl>
    <w:lvl w:ilvl="5">
      <w:start w:val="1"/>
      <w:numFmt w:val="decimal"/>
      <w:pStyle w:val="1152"/>
      <w:isLgl w:val="false"/>
      <w:suff w:val="nothing"/>
      <w:lvlText w:val="%6）"/>
      <w:lvlJc w:val="left"/>
      <w:pPr>
        <w:ind w:left="0" w:firstLine="402"/>
      </w:pPr>
      <w:rPr>
        <w:rFonts w:hint="eastAsia"/>
      </w:rPr>
    </w:lvl>
    <w:lvl w:ilvl="6">
      <w:start w:val="1"/>
      <w:numFmt w:val="lowerLetter"/>
      <w:pStyle w:val="1153"/>
      <w:isLgl w:val="false"/>
      <w:suff w:val="nothing"/>
      <w:lvlText w:val="%7．"/>
      <w:lvlJc w:val="left"/>
      <w:pPr>
        <w:ind w:left="0" w:firstLine="402"/>
      </w:pPr>
      <w:rPr>
        <w:rFonts w:hint="eastAsia"/>
      </w:rPr>
    </w:lvl>
    <w:lvl w:ilvl="7">
      <w:start w:val="1"/>
      <w:numFmt w:val="lowerLetter"/>
      <w:pStyle w:val="1154"/>
      <w:isLgl w:val="false"/>
      <w:suff w:val="nothing"/>
      <w:lvlText w:val="%8）"/>
      <w:lvlJc w:val="left"/>
      <w:pPr>
        <w:ind w:left="0" w:firstLine="402"/>
      </w:pPr>
      <w:rPr>
        <w:rFonts w:hint="eastAsia"/>
      </w:rPr>
    </w:lvl>
    <w:lvl w:ilvl="8">
      <w:start w:val="1"/>
      <w:numFmt w:val="lowerRoman"/>
      <w:pStyle w:val="1155"/>
      <w:isLgl w:val="false"/>
      <w:suff w:val="nothing"/>
      <w:lvlText w:val="%9 "/>
      <w:lvlJc w:val="left"/>
      <w:pPr>
        <w:ind w:left="0" w:firstLine="402"/>
      </w:pPr>
      <w:rPr>
        <w:rFonts w:hint="eastAsia"/>
      </w:rPr>
    </w:lvl>
  </w:abstractNum>
  <w:abstractNum w:abstractNumId="6">
    <w:multiLevelType w:val="hybridMultilevel"/>
    <w:lvl w:ilvl="0">
      <w:start w:val="1"/>
      <w:numFmt w:val="chineseCounting"/>
      <w:isLgl w:val="false"/>
      <w:suff w:val="space"/>
      <w:lvlText w:val="第%1章"/>
      <w:lvlJc w:val="left"/>
      <w:pPr/>
      <w:rPr>
        <w:rFonts w:hint="eastAsia"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6"/>
  </w:num>
  <w:num w:numId="3">
    <w:abstractNumId w:val="4"/>
  </w:num>
  <w:num w:numId="4">
    <w:abstractNumId w:val="0"/>
  </w:num>
  <w:num w:numId="5">
    <w:abstractNumId w:val="1"/>
  </w:num>
  <w:num w:numId="6">
    <w:abstractNumId w:val="3"/>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84">
    <w:name w:val="Heading 1 Char"/>
    <w:basedOn w:val="1156"/>
    <w:link w:val="1147"/>
    <w:uiPriority w:val="9"/>
    <w:rPr>
      <w:rFonts w:ascii="Arial" w:hAnsi="Arial" w:eastAsia="Arial" w:cs="Arial"/>
      <w:sz w:val="40"/>
      <w:szCs w:val="40"/>
    </w:rPr>
  </w:style>
  <w:style w:type="character" w:styleId="985">
    <w:name w:val="Heading 2 Char"/>
    <w:basedOn w:val="1156"/>
    <w:link w:val="1148"/>
    <w:uiPriority w:val="9"/>
    <w:rPr>
      <w:rFonts w:ascii="Arial" w:hAnsi="Arial" w:eastAsia="Arial" w:cs="Arial"/>
      <w:sz w:val="34"/>
    </w:rPr>
  </w:style>
  <w:style w:type="character" w:styleId="986">
    <w:name w:val="Heading 3 Char"/>
    <w:basedOn w:val="1156"/>
    <w:link w:val="1149"/>
    <w:uiPriority w:val="9"/>
    <w:rPr>
      <w:rFonts w:ascii="Arial" w:hAnsi="Arial" w:eastAsia="Arial" w:cs="Arial"/>
      <w:sz w:val="30"/>
      <w:szCs w:val="30"/>
    </w:rPr>
  </w:style>
  <w:style w:type="character" w:styleId="987">
    <w:name w:val="Heading 4 Char"/>
    <w:basedOn w:val="1156"/>
    <w:link w:val="1150"/>
    <w:uiPriority w:val="9"/>
    <w:rPr>
      <w:rFonts w:ascii="Arial" w:hAnsi="Arial" w:eastAsia="Arial" w:cs="Arial"/>
      <w:b/>
      <w:bCs/>
      <w:sz w:val="26"/>
      <w:szCs w:val="26"/>
    </w:rPr>
  </w:style>
  <w:style w:type="character" w:styleId="988">
    <w:name w:val="Heading 5 Char"/>
    <w:basedOn w:val="1156"/>
    <w:link w:val="1151"/>
    <w:uiPriority w:val="9"/>
    <w:rPr>
      <w:rFonts w:ascii="Arial" w:hAnsi="Arial" w:eastAsia="Arial" w:cs="Arial"/>
      <w:b/>
      <w:bCs/>
      <w:sz w:val="24"/>
      <w:szCs w:val="24"/>
    </w:rPr>
  </w:style>
  <w:style w:type="character" w:styleId="989">
    <w:name w:val="Heading 6 Char"/>
    <w:basedOn w:val="1156"/>
    <w:link w:val="1152"/>
    <w:uiPriority w:val="9"/>
    <w:rPr>
      <w:rFonts w:ascii="Arial" w:hAnsi="Arial" w:eastAsia="Arial" w:cs="Arial"/>
      <w:b/>
      <w:bCs/>
      <w:sz w:val="22"/>
      <w:szCs w:val="22"/>
    </w:rPr>
  </w:style>
  <w:style w:type="character" w:styleId="990">
    <w:name w:val="Heading 7 Char"/>
    <w:basedOn w:val="1156"/>
    <w:link w:val="1153"/>
    <w:uiPriority w:val="9"/>
    <w:rPr>
      <w:rFonts w:ascii="Arial" w:hAnsi="Arial" w:eastAsia="Arial" w:cs="Arial"/>
      <w:b/>
      <w:bCs/>
      <w:i/>
      <w:iCs/>
      <w:sz w:val="22"/>
      <w:szCs w:val="22"/>
    </w:rPr>
  </w:style>
  <w:style w:type="character" w:styleId="991">
    <w:name w:val="Heading 8 Char"/>
    <w:basedOn w:val="1156"/>
    <w:link w:val="1154"/>
    <w:uiPriority w:val="9"/>
    <w:rPr>
      <w:rFonts w:ascii="Arial" w:hAnsi="Arial" w:eastAsia="Arial" w:cs="Arial"/>
      <w:i/>
      <w:iCs/>
      <w:sz w:val="22"/>
      <w:szCs w:val="22"/>
    </w:rPr>
  </w:style>
  <w:style w:type="character" w:styleId="992">
    <w:name w:val="Heading 9 Char"/>
    <w:basedOn w:val="1156"/>
    <w:link w:val="1155"/>
    <w:uiPriority w:val="9"/>
    <w:rPr>
      <w:rFonts w:ascii="Arial" w:hAnsi="Arial" w:eastAsia="Arial" w:cs="Arial"/>
      <w:i/>
      <w:iCs/>
      <w:sz w:val="21"/>
      <w:szCs w:val="21"/>
    </w:rPr>
  </w:style>
  <w:style w:type="paragraph" w:styleId="993">
    <w:name w:val="No Spacing"/>
    <w:uiPriority w:val="1"/>
    <w:qFormat/>
    <w:pPr>
      <w:spacing w:before="0" w:after="0" w:line="240" w:lineRule="auto"/>
    </w:pPr>
  </w:style>
  <w:style w:type="character" w:styleId="994">
    <w:name w:val="Title Char"/>
    <w:basedOn w:val="1156"/>
    <w:link w:val="1172"/>
    <w:uiPriority w:val="10"/>
    <w:rPr>
      <w:sz w:val="48"/>
      <w:szCs w:val="48"/>
    </w:rPr>
  </w:style>
  <w:style w:type="paragraph" w:styleId="995">
    <w:name w:val="Subtitle"/>
    <w:basedOn w:val="1146"/>
    <w:next w:val="1146"/>
    <w:link w:val="996"/>
    <w:uiPriority w:val="11"/>
    <w:qFormat/>
    <w:pPr>
      <w:spacing w:before="200" w:after="200"/>
    </w:pPr>
    <w:rPr>
      <w:sz w:val="24"/>
      <w:szCs w:val="24"/>
    </w:rPr>
  </w:style>
  <w:style w:type="character" w:styleId="996">
    <w:name w:val="Subtitle Char"/>
    <w:basedOn w:val="1156"/>
    <w:link w:val="995"/>
    <w:uiPriority w:val="11"/>
    <w:rPr>
      <w:sz w:val="24"/>
      <w:szCs w:val="24"/>
    </w:rPr>
  </w:style>
  <w:style w:type="paragraph" w:styleId="997">
    <w:name w:val="Quote"/>
    <w:basedOn w:val="1146"/>
    <w:next w:val="1146"/>
    <w:link w:val="998"/>
    <w:uiPriority w:val="29"/>
    <w:qFormat/>
    <w:pPr>
      <w:ind w:left="720" w:right="720"/>
    </w:pPr>
    <w:rPr>
      <w:i/>
    </w:rPr>
  </w:style>
  <w:style w:type="character" w:styleId="998">
    <w:name w:val="Quote Char"/>
    <w:link w:val="997"/>
    <w:uiPriority w:val="29"/>
    <w:rPr>
      <w:i/>
    </w:rPr>
  </w:style>
  <w:style w:type="paragraph" w:styleId="999">
    <w:name w:val="Intense Quote"/>
    <w:basedOn w:val="1146"/>
    <w:next w:val="1146"/>
    <w:link w:val="10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0">
    <w:name w:val="Intense Quote Char"/>
    <w:link w:val="999"/>
    <w:uiPriority w:val="30"/>
    <w:rPr>
      <w:i/>
    </w:rPr>
  </w:style>
  <w:style w:type="character" w:styleId="1001">
    <w:name w:val="Header Char"/>
    <w:basedOn w:val="1156"/>
    <w:link w:val="1167"/>
    <w:uiPriority w:val="99"/>
  </w:style>
  <w:style w:type="character" w:styleId="1002">
    <w:name w:val="Footer Char"/>
    <w:basedOn w:val="1156"/>
    <w:link w:val="1165"/>
    <w:uiPriority w:val="99"/>
  </w:style>
  <w:style w:type="paragraph" w:styleId="1003">
    <w:name w:val="Caption"/>
    <w:basedOn w:val="1146"/>
    <w:next w:val="1146"/>
    <w:uiPriority w:val="35"/>
    <w:semiHidden/>
    <w:unhideWhenUsed/>
    <w:qFormat/>
    <w:pPr>
      <w:spacing w:line="276" w:lineRule="auto"/>
    </w:pPr>
    <w:rPr>
      <w:b/>
      <w:bCs/>
      <w:color w:val="4f81bd" w:themeColor="accent1"/>
      <w:sz w:val="18"/>
      <w:szCs w:val="18"/>
    </w:rPr>
  </w:style>
  <w:style w:type="character" w:styleId="1004">
    <w:name w:val="Caption Char"/>
    <w:basedOn w:val="1003"/>
    <w:link w:val="1165"/>
    <w:uiPriority w:val="99"/>
  </w:style>
  <w:style w:type="table" w:styleId="1005">
    <w:name w:val="Table Grid Light"/>
    <w:basedOn w:val="11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06">
    <w:name w:val="Plain Table 1"/>
    <w:basedOn w:val="11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7">
    <w:name w:val="Plain Table 2"/>
    <w:basedOn w:val="11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8">
    <w:name w:val="Plain Table 3"/>
    <w:basedOn w:val="11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9">
    <w:name w:val="Plain Table 4"/>
    <w:basedOn w:val="11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0">
    <w:name w:val="Plain Table 5"/>
    <w:basedOn w:val="11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11">
    <w:name w:val="Grid Table 1 Light"/>
    <w:basedOn w:val="11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12">
    <w:name w:val="Grid Table 1 Light - Accent 1"/>
    <w:basedOn w:val="11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13">
    <w:name w:val="Grid Table 1 Light - Accent 2"/>
    <w:basedOn w:val="11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14">
    <w:name w:val="Grid Table 1 Light - Accent 3"/>
    <w:basedOn w:val="11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15">
    <w:name w:val="Grid Table 1 Light - Accent 4"/>
    <w:basedOn w:val="11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16">
    <w:name w:val="Grid Table 1 Light - Accent 5"/>
    <w:basedOn w:val="11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17">
    <w:name w:val="Grid Table 1 Light - Accent 6"/>
    <w:basedOn w:val="11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18">
    <w:name w:val="Grid Table 2"/>
    <w:basedOn w:val="11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19">
    <w:name w:val="Grid Table 2 - Accent 1"/>
    <w:basedOn w:val="11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20">
    <w:name w:val="Grid Table 2 - Accent 2"/>
    <w:basedOn w:val="11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21">
    <w:name w:val="Grid Table 2 - Accent 3"/>
    <w:basedOn w:val="11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22">
    <w:name w:val="Grid Table 2 - Accent 4"/>
    <w:basedOn w:val="11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23">
    <w:name w:val="Grid Table 2 - Accent 5"/>
    <w:basedOn w:val="11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24">
    <w:name w:val="Grid Table 2 - Accent 6"/>
    <w:basedOn w:val="11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25">
    <w:name w:val="Grid Table 3"/>
    <w:basedOn w:val="11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6">
    <w:name w:val="Grid Table 3 - Accent 1"/>
    <w:basedOn w:val="11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7">
    <w:name w:val="Grid Table 3 - Accent 2"/>
    <w:basedOn w:val="11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8">
    <w:name w:val="Grid Table 3 - Accent 3"/>
    <w:basedOn w:val="11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9">
    <w:name w:val="Grid Table 3 - Accent 4"/>
    <w:basedOn w:val="11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0">
    <w:name w:val="Grid Table 3 - Accent 5"/>
    <w:basedOn w:val="11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1">
    <w:name w:val="Grid Table 3 - Accent 6"/>
    <w:basedOn w:val="11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2">
    <w:name w:val="Grid Table 4"/>
    <w:basedOn w:val="11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3">
    <w:name w:val="Grid Table 4 - Accent 1"/>
    <w:basedOn w:val="11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34">
    <w:name w:val="Grid Table 4 - Accent 2"/>
    <w:basedOn w:val="11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35">
    <w:name w:val="Grid Table 4 - Accent 3"/>
    <w:basedOn w:val="11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36">
    <w:name w:val="Grid Table 4 - Accent 4"/>
    <w:basedOn w:val="11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37">
    <w:name w:val="Grid Table 4 - Accent 5"/>
    <w:basedOn w:val="11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38">
    <w:name w:val="Grid Table 4 - Accent 6"/>
    <w:basedOn w:val="11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39">
    <w:name w:val="Grid Table 5 Dark"/>
    <w:basedOn w:val="11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40">
    <w:name w:val="Grid Table 5 Dark- Accent 1"/>
    <w:basedOn w:val="11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1041">
    <w:name w:val="Grid Table 5 Dark - Accent 2"/>
    <w:basedOn w:val="11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1042">
    <w:name w:val="Grid Table 5 Dark - Accent 3"/>
    <w:basedOn w:val="11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1043">
    <w:name w:val="Grid Table 5 Dark- Accent 4"/>
    <w:basedOn w:val="11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1044">
    <w:name w:val="Grid Table 5 Dark - Accent 5"/>
    <w:basedOn w:val="11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1045">
    <w:name w:val="Grid Table 5 Dark - Accent 6"/>
    <w:basedOn w:val="11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1046">
    <w:name w:val="Grid Table 6 Colorful"/>
    <w:basedOn w:val="11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47">
    <w:name w:val="Grid Table 6 Colorful - Accent 1"/>
    <w:basedOn w:val="11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1048">
    <w:name w:val="Grid Table 6 Colorful - Accent 2"/>
    <w:basedOn w:val="11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1049">
    <w:name w:val="Grid Table 6 Colorful - Accent 3"/>
    <w:basedOn w:val="11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1050">
    <w:name w:val="Grid Table 6 Colorful - Accent 4"/>
    <w:basedOn w:val="11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1051">
    <w:name w:val="Grid Table 6 Colorful - Accent 5"/>
    <w:basedOn w:val="11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1052">
    <w:name w:val="Grid Table 6 Colorful - Accent 6"/>
    <w:basedOn w:val="11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1053">
    <w:name w:val="Grid Table 7 Colorful"/>
    <w:basedOn w:val="11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54">
    <w:name w:val="Grid Table 7 Colorful - Accent 1"/>
    <w:basedOn w:val="11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55">
    <w:name w:val="Grid Table 7 Colorful - Accent 2"/>
    <w:basedOn w:val="11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56">
    <w:name w:val="Grid Table 7 Colorful - Accent 3"/>
    <w:basedOn w:val="11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57">
    <w:name w:val="Grid Table 7 Colorful - Accent 4"/>
    <w:basedOn w:val="11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58">
    <w:name w:val="Grid Table 7 Colorful - Accent 5"/>
    <w:basedOn w:val="11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59">
    <w:name w:val="Grid Table 7 Colorful - Accent 6"/>
    <w:basedOn w:val="11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60">
    <w:name w:val="List Table 1 Light"/>
    <w:basedOn w:val="11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1">
    <w:name w:val="List Table 1 Light - Accent 1"/>
    <w:basedOn w:val="115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2">
    <w:name w:val="List Table 1 Light - Accent 2"/>
    <w:basedOn w:val="115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3">
    <w:name w:val="List Table 1 Light - Accent 3"/>
    <w:basedOn w:val="115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64">
    <w:name w:val="List Table 1 Light - Accent 4"/>
    <w:basedOn w:val="115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65">
    <w:name w:val="List Table 1 Light - Accent 5"/>
    <w:basedOn w:val="115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66">
    <w:name w:val="List Table 1 Light - Accent 6"/>
    <w:basedOn w:val="115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67">
    <w:name w:val="List Table 2"/>
    <w:basedOn w:val="11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68">
    <w:name w:val="List Table 2 - Accent 1"/>
    <w:basedOn w:val="11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69">
    <w:name w:val="List Table 2 - Accent 2"/>
    <w:basedOn w:val="11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70">
    <w:name w:val="List Table 2 - Accent 3"/>
    <w:basedOn w:val="11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71">
    <w:name w:val="List Table 2 - Accent 4"/>
    <w:basedOn w:val="11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72">
    <w:name w:val="List Table 2 - Accent 5"/>
    <w:basedOn w:val="11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73">
    <w:name w:val="List Table 2 - Accent 6"/>
    <w:basedOn w:val="11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74">
    <w:name w:val="List Table 3"/>
    <w:basedOn w:val="11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75">
    <w:name w:val="List Table 3 - Accent 1"/>
    <w:basedOn w:val="11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076">
    <w:name w:val="List Table 3 - Accent 2"/>
    <w:basedOn w:val="11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077">
    <w:name w:val="List Table 3 - Accent 3"/>
    <w:basedOn w:val="11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078">
    <w:name w:val="List Table 3 - Accent 4"/>
    <w:basedOn w:val="11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079">
    <w:name w:val="List Table 3 - Accent 5"/>
    <w:basedOn w:val="11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080">
    <w:name w:val="List Table 3 - Accent 6"/>
    <w:basedOn w:val="11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081">
    <w:name w:val="List Table 4"/>
    <w:basedOn w:val="11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82">
    <w:name w:val="List Table 4 - Accent 1"/>
    <w:basedOn w:val="11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083">
    <w:name w:val="List Table 4 - Accent 2"/>
    <w:basedOn w:val="11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084">
    <w:name w:val="List Table 4 - Accent 3"/>
    <w:basedOn w:val="11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085">
    <w:name w:val="List Table 4 - Accent 4"/>
    <w:basedOn w:val="11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086">
    <w:name w:val="List Table 4 - Accent 5"/>
    <w:basedOn w:val="11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087">
    <w:name w:val="List Table 4 - Accent 6"/>
    <w:basedOn w:val="11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088">
    <w:name w:val="List Table 5 Dark"/>
    <w:basedOn w:val="11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9">
    <w:name w:val="List Table 5 Dark - Accent 1"/>
    <w:basedOn w:val="11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0">
    <w:name w:val="List Table 5 Dark - Accent 2"/>
    <w:basedOn w:val="11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1">
    <w:name w:val="List Table 5 Dark - Accent 3"/>
    <w:basedOn w:val="11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2">
    <w:name w:val="List Table 5 Dark - Accent 4"/>
    <w:basedOn w:val="11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3">
    <w:name w:val="List Table 5 Dark - Accent 5"/>
    <w:basedOn w:val="11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4">
    <w:name w:val="List Table 5 Dark - Accent 6"/>
    <w:basedOn w:val="11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5">
    <w:name w:val="List Table 6 Colorful"/>
    <w:basedOn w:val="11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96">
    <w:name w:val="List Table 6 Colorful - Accent 1"/>
    <w:basedOn w:val="11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097">
    <w:name w:val="List Table 6 Colorful - Accent 2"/>
    <w:basedOn w:val="11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098">
    <w:name w:val="List Table 6 Colorful - Accent 3"/>
    <w:basedOn w:val="11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099">
    <w:name w:val="List Table 6 Colorful - Accent 4"/>
    <w:basedOn w:val="11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100">
    <w:name w:val="List Table 6 Colorful - Accent 5"/>
    <w:basedOn w:val="11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101">
    <w:name w:val="List Table 6 Colorful - Accent 6"/>
    <w:basedOn w:val="11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102">
    <w:name w:val="List Table 7 Colorful"/>
    <w:basedOn w:val="11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03">
    <w:name w:val="List Table 7 Colorful - Accent 1"/>
    <w:basedOn w:val="11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1104">
    <w:name w:val="List Table 7 Colorful - Accent 2"/>
    <w:basedOn w:val="11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105">
    <w:name w:val="List Table 7 Colorful - Accent 3"/>
    <w:basedOn w:val="11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106">
    <w:name w:val="List Table 7 Colorful - Accent 4"/>
    <w:basedOn w:val="11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107">
    <w:name w:val="List Table 7 Colorful - Accent 5"/>
    <w:basedOn w:val="11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1108">
    <w:name w:val="List Table 7 Colorful - Accent 6"/>
    <w:basedOn w:val="11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109">
    <w:name w:val="Lined - Accent"/>
    <w:basedOn w:val="11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10">
    <w:name w:val="Lined - Accent 1"/>
    <w:basedOn w:val="11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111">
    <w:name w:val="Lined - Accent 2"/>
    <w:basedOn w:val="11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112">
    <w:name w:val="Lined - Accent 3"/>
    <w:basedOn w:val="11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113">
    <w:name w:val="Lined - Accent 4"/>
    <w:basedOn w:val="11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114">
    <w:name w:val="Lined - Accent 5"/>
    <w:basedOn w:val="11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115">
    <w:name w:val="Lined - Accent 6"/>
    <w:basedOn w:val="11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116">
    <w:name w:val="Bordered &amp; Lined - Accent"/>
    <w:basedOn w:val="11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17">
    <w:name w:val="Bordered &amp; Lined - Accent 1"/>
    <w:basedOn w:val="11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118">
    <w:name w:val="Bordered &amp; Lined - Accent 2"/>
    <w:basedOn w:val="11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119">
    <w:name w:val="Bordered &amp; Lined - Accent 3"/>
    <w:basedOn w:val="11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120">
    <w:name w:val="Bordered &amp; Lined - Accent 4"/>
    <w:basedOn w:val="11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121">
    <w:name w:val="Bordered &amp; Lined - Accent 5"/>
    <w:basedOn w:val="11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122">
    <w:name w:val="Bordered &amp; Lined - Accent 6"/>
    <w:basedOn w:val="11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123">
    <w:name w:val="Bordered"/>
    <w:basedOn w:val="11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24">
    <w:name w:val="Bordered - Accent 1"/>
    <w:basedOn w:val="11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25">
    <w:name w:val="Bordered - Accent 2"/>
    <w:basedOn w:val="11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26">
    <w:name w:val="Bordered - Accent 3"/>
    <w:basedOn w:val="11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27">
    <w:name w:val="Bordered - Accent 4"/>
    <w:basedOn w:val="11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28">
    <w:name w:val="Bordered - Accent 5"/>
    <w:basedOn w:val="11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29">
    <w:name w:val="Bordered - Accent 6"/>
    <w:basedOn w:val="11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30">
    <w:name w:val="Hyperlink"/>
    <w:uiPriority w:val="99"/>
    <w:unhideWhenUsed/>
    <w:rPr>
      <w:color w:val="0000ff" w:themeColor="hyperlink"/>
      <w:u w:val="single"/>
    </w:rPr>
  </w:style>
  <w:style w:type="paragraph" w:styleId="1131">
    <w:name w:val="footnote text"/>
    <w:basedOn w:val="1146"/>
    <w:link w:val="1132"/>
    <w:uiPriority w:val="99"/>
    <w:semiHidden/>
    <w:unhideWhenUsed/>
    <w:pPr>
      <w:spacing w:after="40" w:line="240" w:lineRule="auto"/>
    </w:pPr>
    <w:rPr>
      <w:sz w:val="18"/>
    </w:rPr>
  </w:style>
  <w:style w:type="character" w:styleId="1132">
    <w:name w:val="Footnote Text Char"/>
    <w:link w:val="1131"/>
    <w:uiPriority w:val="99"/>
    <w:rPr>
      <w:sz w:val="18"/>
    </w:rPr>
  </w:style>
  <w:style w:type="character" w:styleId="1133">
    <w:name w:val="footnote reference"/>
    <w:basedOn w:val="1156"/>
    <w:uiPriority w:val="99"/>
    <w:unhideWhenUsed/>
    <w:rPr>
      <w:vertAlign w:val="superscript"/>
    </w:rPr>
  </w:style>
  <w:style w:type="paragraph" w:styleId="1134">
    <w:name w:val="endnote text"/>
    <w:basedOn w:val="1146"/>
    <w:link w:val="1135"/>
    <w:uiPriority w:val="99"/>
    <w:semiHidden/>
    <w:unhideWhenUsed/>
    <w:pPr>
      <w:spacing w:after="0" w:line="240" w:lineRule="auto"/>
    </w:pPr>
    <w:rPr>
      <w:sz w:val="20"/>
    </w:rPr>
  </w:style>
  <w:style w:type="character" w:styleId="1135">
    <w:name w:val="Endnote Text Char"/>
    <w:link w:val="1134"/>
    <w:uiPriority w:val="99"/>
    <w:rPr>
      <w:sz w:val="20"/>
    </w:rPr>
  </w:style>
  <w:style w:type="character" w:styleId="1136">
    <w:name w:val="endnote reference"/>
    <w:basedOn w:val="1156"/>
    <w:uiPriority w:val="99"/>
    <w:semiHidden/>
    <w:unhideWhenUsed/>
    <w:rPr>
      <w:vertAlign w:val="superscript"/>
    </w:rPr>
  </w:style>
  <w:style w:type="paragraph" w:styleId="1137">
    <w:name w:val="toc 3"/>
    <w:basedOn w:val="1146"/>
    <w:next w:val="1146"/>
    <w:uiPriority w:val="39"/>
    <w:unhideWhenUsed/>
    <w:pPr>
      <w:ind w:left="567" w:right="0" w:firstLine="0"/>
      <w:spacing w:after="57"/>
    </w:pPr>
  </w:style>
  <w:style w:type="paragraph" w:styleId="1138">
    <w:name w:val="toc 4"/>
    <w:basedOn w:val="1146"/>
    <w:next w:val="1146"/>
    <w:uiPriority w:val="39"/>
    <w:unhideWhenUsed/>
    <w:pPr>
      <w:ind w:left="850" w:right="0" w:firstLine="0"/>
      <w:spacing w:after="57"/>
    </w:pPr>
  </w:style>
  <w:style w:type="paragraph" w:styleId="1139">
    <w:name w:val="toc 5"/>
    <w:basedOn w:val="1146"/>
    <w:next w:val="1146"/>
    <w:uiPriority w:val="39"/>
    <w:unhideWhenUsed/>
    <w:pPr>
      <w:ind w:left="1134" w:right="0" w:firstLine="0"/>
      <w:spacing w:after="57"/>
    </w:pPr>
  </w:style>
  <w:style w:type="paragraph" w:styleId="1140">
    <w:name w:val="toc 6"/>
    <w:basedOn w:val="1146"/>
    <w:next w:val="1146"/>
    <w:uiPriority w:val="39"/>
    <w:unhideWhenUsed/>
    <w:pPr>
      <w:ind w:left="1417" w:right="0" w:firstLine="0"/>
      <w:spacing w:after="57"/>
    </w:pPr>
  </w:style>
  <w:style w:type="paragraph" w:styleId="1141">
    <w:name w:val="toc 7"/>
    <w:basedOn w:val="1146"/>
    <w:next w:val="1146"/>
    <w:uiPriority w:val="39"/>
    <w:unhideWhenUsed/>
    <w:pPr>
      <w:ind w:left="1701" w:right="0" w:firstLine="0"/>
      <w:spacing w:after="57"/>
    </w:pPr>
  </w:style>
  <w:style w:type="paragraph" w:styleId="1142">
    <w:name w:val="toc 8"/>
    <w:basedOn w:val="1146"/>
    <w:next w:val="1146"/>
    <w:uiPriority w:val="39"/>
    <w:unhideWhenUsed/>
    <w:pPr>
      <w:ind w:left="1984" w:right="0" w:firstLine="0"/>
      <w:spacing w:after="57"/>
    </w:pPr>
  </w:style>
  <w:style w:type="paragraph" w:styleId="1143">
    <w:name w:val="toc 9"/>
    <w:basedOn w:val="1146"/>
    <w:next w:val="1146"/>
    <w:uiPriority w:val="39"/>
    <w:unhideWhenUsed/>
    <w:pPr>
      <w:ind w:left="2268" w:right="0" w:firstLine="0"/>
      <w:spacing w:after="57"/>
    </w:pPr>
  </w:style>
  <w:style w:type="paragraph" w:styleId="1144">
    <w:name w:val="TOC Heading"/>
    <w:uiPriority w:val="39"/>
    <w:unhideWhenUsed/>
  </w:style>
  <w:style w:type="paragraph" w:styleId="1145">
    <w:name w:val="table of figures"/>
    <w:basedOn w:val="1146"/>
    <w:next w:val="1146"/>
    <w:uiPriority w:val="99"/>
    <w:unhideWhenUsed/>
    <w:pPr>
      <w:spacing w:after="0" w:afterAutospacing="0"/>
    </w:pPr>
  </w:style>
  <w:style w:type="paragraph" w:styleId="1146" w:default="1">
    <w:name w:val="Normal"/>
    <w:next w:val="1158"/>
    <w:uiPriority w:val="0"/>
    <w:qFormat/>
    <w:pPr>
      <w:jc w:val="both"/>
      <w:widowControl w:val="off"/>
    </w:pPr>
    <w:rPr>
      <w:rFonts w:ascii="Times New Roman" w:hAnsi="Times New Roman" w:eastAsia="宋体" w:cs="Times New Roman"/>
      <w:sz w:val="21"/>
      <w:szCs w:val="24"/>
      <w:lang w:val="en-US" w:eastAsia="zh-CN" w:bidi="ar-SA"/>
    </w:rPr>
  </w:style>
  <w:style w:type="paragraph" w:styleId="1147">
    <w:name w:val="Heading 1"/>
    <w:basedOn w:val="1146"/>
    <w:next w:val="1146"/>
    <w:link w:val="1180"/>
    <w:uiPriority w:val="0"/>
    <w:qFormat/>
    <w:pPr>
      <w:numPr>
        <w:ilvl w:val="0"/>
        <w:numId w:val="1"/>
      </w:numPr>
      <w:jc w:val="center"/>
      <w:keepNext/>
      <w:outlineLvl w:val="0"/>
    </w:pPr>
    <w:rPr>
      <w:rFonts w:ascii="楷体_GB2312" w:hAnsi="楷体_GB2312"/>
      <w:b/>
      <w:szCs w:val="20"/>
    </w:rPr>
  </w:style>
  <w:style w:type="paragraph" w:styleId="1148">
    <w:name w:val="Heading 2"/>
    <w:basedOn w:val="1146"/>
    <w:next w:val="1146"/>
    <w:uiPriority w:val="0"/>
    <w:qFormat/>
    <w:pPr>
      <w:numPr>
        <w:ilvl w:val="1"/>
        <w:numId w:val="1"/>
      </w:numPr>
      <w:jc w:val="center"/>
      <w:keepLines/>
      <w:keepNext/>
      <w:spacing w:before="260" w:after="260" w:line="416" w:lineRule="auto"/>
      <w:outlineLvl w:val="1"/>
    </w:pPr>
    <w:rPr>
      <w:rFonts w:ascii="Arial" w:hAnsi="Arial" w:eastAsia="幼圆"/>
      <w:b/>
      <w:sz w:val="44"/>
      <w:szCs w:val="20"/>
    </w:rPr>
  </w:style>
  <w:style w:type="paragraph" w:styleId="1149">
    <w:name w:val="Heading 3"/>
    <w:basedOn w:val="1146"/>
    <w:next w:val="1146"/>
    <w:uiPriority w:val="0"/>
    <w:qFormat/>
    <w:pPr>
      <w:numPr>
        <w:ilvl w:val="2"/>
        <w:numId w:val="1"/>
      </w:numPr>
      <w:ind w:firstLine="400"/>
      <w:keepLines/>
      <w:keepNext/>
      <w:spacing w:before="260" w:after="260" w:line="415" w:lineRule="auto"/>
      <w:outlineLvl w:val="2"/>
    </w:pPr>
    <w:rPr>
      <w:sz w:val="32"/>
      <w:szCs w:val="32"/>
    </w:rPr>
  </w:style>
  <w:style w:type="paragraph" w:styleId="1150">
    <w:name w:val="Heading 4"/>
    <w:basedOn w:val="1146"/>
    <w:next w:val="1146"/>
    <w:uiPriority w:val="0"/>
    <w:qFormat/>
    <w:pPr>
      <w:numPr>
        <w:ilvl w:val="3"/>
        <w:numId w:val="1"/>
      </w:numPr>
      <w:ind w:firstLine="402"/>
      <w:jc w:val="left"/>
      <w:keepLines/>
      <w:keepNext/>
      <w:spacing w:before="120" w:after="120"/>
      <w:outlineLvl w:val="3"/>
    </w:pPr>
    <w:rPr>
      <w:rFonts w:eastAsia="黑体"/>
      <w:bCs/>
      <w:sz w:val="30"/>
      <w:szCs w:val="30"/>
      <w:lang w:val="zh-CN"/>
    </w:rPr>
  </w:style>
  <w:style w:type="paragraph" w:styleId="1151">
    <w:name w:val="Heading 5"/>
    <w:basedOn w:val="1146"/>
    <w:next w:val="1146"/>
    <w:uiPriority w:val="0"/>
    <w:semiHidden/>
    <w:unhideWhenUsed/>
    <w:qFormat/>
    <w:pPr>
      <w:numPr>
        <w:ilvl w:val="4"/>
        <w:numId w:val="1"/>
      </w:numPr>
      <w:ind w:firstLine="402"/>
      <w:keepLines/>
      <w:keepNext/>
      <w:spacing w:before="280" w:beforeAutospacing="0" w:after="290" w:afterAutospacing="0" w:line="372" w:lineRule="auto"/>
      <w:outlineLvl w:val="4"/>
    </w:pPr>
    <w:rPr>
      <w:b/>
      <w:sz w:val="28"/>
    </w:rPr>
  </w:style>
  <w:style w:type="paragraph" w:styleId="1152">
    <w:name w:val="Heading 6"/>
    <w:basedOn w:val="1146"/>
    <w:next w:val="1146"/>
    <w:uiPriority w:val="0"/>
    <w:semiHidden/>
    <w:unhideWhenUsed/>
    <w:qFormat/>
    <w:pPr>
      <w:numPr>
        <w:ilvl w:val="5"/>
        <w:numId w:val="1"/>
      </w:numPr>
      <w:ind w:firstLine="402"/>
      <w:keepLines/>
      <w:keepNext/>
      <w:spacing w:before="240" w:beforeAutospacing="0" w:after="64" w:afterAutospacing="0" w:line="317" w:lineRule="auto"/>
      <w:outlineLvl w:val="5"/>
    </w:pPr>
    <w:rPr>
      <w:rFonts w:ascii="Arial" w:hAnsi="Arial" w:eastAsia="黑体"/>
      <w:b/>
      <w:sz w:val="24"/>
    </w:rPr>
  </w:style>
  <w:style w:type="paragraph" w:styleId="1153">
    <w:name w:val="Heading 7"/>
    <w:basedOn w:val="1146"/>
    <w:next w:val="1146"/>
    <w:uiPriority w:val="0"/>
    <w:semiHidden/>
    <w:unhideWhenUsed/>
    <w:qFormat/>
    <w:pPr>
      <w:numPr>
        <w:ilvl w:val="6"/>
        <w:numId w:val="1"/>
      </w:numPr>
      <w:ind w:firstLine="402"/>
      <w:keepLines/>
      <w:keepNext/>
      <w:spacing w:before="240" w:beforeAutospacing="0" w:after="64" w:afterAutospacing="0" w:line="317" w:lineRule="auto"/>
      <w:outlineLvl w:val="6"/>
    </w:pPr>
    <w:rPr>
      <w:b/>
      <w:sz w:val="24"/>
    </w:rPr>
  </w:style>
  <w:style w:type="paragraph" w:styleId="1154">
    <w:name w:val="Heading 8"/>
    <w:basedOn w:val="1146"/>
    <w:next w:val="1146"/>
    <w:uiPriority w:val="0"/>
    <w:semiHidden/>
    <w:unhideWhenUsed/>
    <w:qFormat/>
    <w:pPr>
      <w:numPr>
        <w:ilvl w:val="7"/>
        <w:numId w:val="1"/>
      </w:numPr>
      <w:ind w:firstLine="402"/>
      <w:keepLines/>
      <w:keepNext/>
      <w:spacing w:before="240" w:beforeAutospacing="0" w:after="64" w:afterAutospacing="0" w:line="317" w:lineRule="auto"/>
      <w:outlineLvl w:val="7"/>
    </w:pPr>
    <w:rPr>
      <w:rFonts w:ascii="Arial" w:hAnsi="Arial" w:eastAsia="黑体"/>
      <w:sz w:val="24"/>
    </w:rPr>
  </w:style>
  <w:style w:type="paragraph" w:styleId="1155">
    <w:name w:val="Heading 9"/>
    <w:basedOn w:val="1146"/>
    <w:next w:val="1146"/>
    <w:uiPriority w:val="0"/>
    <w:semiHidden/>
    <w:unhideWhenUsed/>
    <w:qFormat/>
    <w:pPr>
      <w:numPr>
        <w:ilvl w:val="8"/>
        <w:numId w:val="1"/>
      </w:numPr>
      <w:ind w:firstLine="402"/>
      <w:keepLines/>
      <w:keepNext/>
      <w:spacing w:before="240" w:beforeAutospacing="0" w:after="64" w:afterAutospacing="0" w:line="317" w:lineRule="auto"/>
      <w:outlineLvl w:val="8"/>
    </w:pPr>
    <w:rPr>
      <w:rFonts w:ascii="Arial" w:hAnsi="Arial" w:eastAsia="黑体"/>
      <w:sz w:val="21"/>
    </w:rPr>
  </w:style>
  <w:style w:type="character" w:styleId="1156" w:default="1">
    <w:name w:val="Default Paragraph Font"/>
    <w:uiPriority w:val="1"/>
    <w:semiHidden/>
    <w:unhideWhenUsed/>
    <w:qFormat/>
  </w:style>
  <w:style w:type="table" w:styleId="1157" w:default="1">
    <w:name w:val="Normal Table"/>
    <w:uiPriority w:val="99"/>
    <w:semiHidden/>
    <w:unhideWhenUsed/>
    <w:qFormat/>
    <w:tblPr>
      <w:tblCellMar>
        <w:left w:w="108" w:type="dxa"/>
        <w:top w:w="0" w:type="dxa"/>
        <w:right w:w="108" w:type="dxa"/>
        <w:bottom w:w="0" w:type="dxa"/>
      </w:tblCellMar>
    </w:tblPr>
  </w:style>
  <w:style w:type="paragraph" w:styleId="1158" w:customStyle="1">
    <w:name w:val="DAS正文"/>
    <w:basedOn w:val="1146"/>
    <w:uiPriority w:val="0"/>
    <w:qFormat/>
    <w:pPr>
      <w:ind w:right="181" w:firstLine="480"/>
      <w:spacing w:line="360" w:lineRule="auto"/>
    </w:pPr>
    <w:rPr>
      <w:rFonts w:ascii="Verdana" w:hAnsi="Verdana"/>
    </w:rPr>
  </w:style>
  <w:style w:type="paragraph" w:styleId="1159">
    <w:name w:val="Normal Indent"/>
    <w:basedOn w:val="1146"/>
    <w:link w:val="1202"/>
    <w:uiPriority w:val="0"/>
    <w:qFormat/>
    <w:pPr>
      <w:ind w:firstLine="420"/>
    </w:pPr>
    <w:rPr>
      <w:szCs w:val="20"/>
    </w:rPr>
  </w:style>
  <w:style w:type="paragraph" w:styleId="1160">
    <w:name w:val="Body Text"/>
    <w:basedOn w:val="1146"/>
    <w:link w:val="1198"/>
    <w:uiPriority w:val="0"/>
    <w:qFormat/>
    <w:rPr>
      <w:rFonts w:ascii="楷体_GB2312" w:hAnsi="Arial" w:eastAsia="楷体_GB2312"/>
      <w:sz w:val="28"/>
      <w:szCs w:val="20"/>
    </w:rPr>
  </w:style>
  <w:style w:type="paragraph" w:styleId="1161">
    <w:name w:val="Body Text Indent"/>
    <w:basedOn w:val="1146"/>
    <w:uiPriority w:val="0"/>
    <w:qFormat/>
    <w:pPr>
      <w:ind w:firstLine="645"/>
    </w:pPr>
    <w:rPr>
      <w:rFonts w:ascii="楷体_GB2312" w:eastAsia="楷体_GB2312"/>
      <w:sz w:val="32"/>
      <w:szCs w:val="20"/>
    </w:rPr>
  </w:style>
  <w:style w:type="paragraph" w:styleId="1162">
    <w:name w:val="Block Text"/>
    <w:basedOn w:val="1146"/>
    <w:uiPriority w:val="99"/>
    <w:unhideWhenUsed/>
    <w:qFormat/>
    <w:pPr>
      <w:ind w:left="1440" w:right="1440"/>
      <w:spacing w:after="120"/>
    </w:pPr>
  </w:style>
  <w:style w:type="paragraph" w:styleId="1163">
    <w:name w:val="Plain Text"/>
    <w:basedOn w:val="1146"/>
    <w:next w:val="1159"/>
    <w:link w:val="1200"/>
    <w:uiPriority w:val="99"/>
    <w:qFormat/>
    <w:rPr>
      <w:rFonts w:ascii="宋体" w:hAnsi="Courier New"/>
      <w:szCs w:val="20"/>
    </w:rPr>
  </w:style>
  <w:style w:type="paragraph" w:styleId="1164">
    <w:name w:val="Date"/>
    <w:basedOn w:val="1146"/>
    <w:next w:val="1146"/>
    <w:uiPriority w:val="0"/>
    <w:qFormat/>
    <w:rPr>
      <w:sz w:val="24"/>
      <w:szCs w:val="20"/>
    </w:rPr>
  </w:style>
  <w:style w:type="paragraph" w:styleId="1165">
    <w:name w:val="Footer"/>
    <w:basedOn w:val="1146"/>
    <w:uiPriority w:val="99"/>
    <w:qFormat/>
    <w:pPr>
      <w:jc w:val="left"/>
      <w:tabs>
        <w:tab w:val="center" w:pos="4153" w:leader="none"/>
        <w:tab w:val="right" w:pos="8306" w:leader="none"/>
      </w:tabs>
    </w:pPr>
    <w:rPr>
      <w:sz w:val="18"/>
      <w:szCs w:val="20"/>
    </w:rPr>
  </w:style>
  <w:style w:type="paragraph" w:styleId="1166">
    <w:name w:val="envelope return"/>
    <w:basedOn w:val="1146"/>
    <w:uiPriority w:val="0"/>
    <w:qFormat/>
    <w:rPr>
      <w:rFonts w:ascii="Arial" w:hAnsi="Arial"/>
    </w:rPr>
  </w:style>
  <w:style w:type="paragraph" w:styleId="1167">
    <w:name w:val="Header"/>
    <w:basedOn w:val="1146"/>
    <w:uiPriority w:val="0"/>
    <w:qFormat/>
    <w:pPr>
      <w:jc w:val="center"/>
      <w:tabs>
        <w:tab w:val="center" w:pos="4153" w:leader="none"/>
        <w:tab w:val="right" w:pos="8306" w:leader="none"/>
      </w:tabs>
      <w:pBdr>
        <w:bottom w:val="single" w:color="auto" w:sz="6" w:space="1"/>
      </w:pBdr>
    </w:pPr>
    <w:rPr>
      <w:sz w:val="18"/>
      <w:szCs w:val="18"/>
    </w:rPr>
  </w:style>
  <w:style w:type="paragraph" w:styleId="1168">
    <w:name w:val="toc 1"/>
    <w:basedOn w:val="1146"/>
    <w:next w:val="1146"/>
    <w:uiPriority w:val="0"/>
    <w:qFormat/>
  </w:style>
  <w:style w:type="paragraph" w:styleId="1169">
    <w:name w:val="toc 2"/>
    <w:basedOn w:val="1146"/>
    <w:next w:val="1146"/>
    <w:uiPriority w:val="39"/>
    <w:qFormat/>
    <w:pPr>
      <w:ind w:left="210"/>
      <w:jc w:val="left"/>
    </w:pPr>
    <w:rPr>
      <w:smallCaps/>
    </w:rPr>
  </w:style>
  <w:style w:type="paragraph" w:styleId="1170">
    <w:name w:val="Body Text 2"/>
    <w:basedOn w:val="1146"/>
    <w:uiPriority w:val="99"/>
    <w:qFormat/>
    <w:rPr>
      <w:rFonts w:eastAsia="仿宋_GB2312"/>
      <w:color w:val="000000"/>
    </w:rPr>
  </w:style>
  <w:style w:type="paragraph" w:styleId="1171">
    <w:name w:val="Normal (Web)"/>
    <w:basedOn w:val="1146"/>
    <w:uiPriority w:val="0"/>
    <w:unhideWhenUsed/>
    <w:qFormat/>
    <w:pPr>
      <w:jc w:val="left"/>
      <w:spacing w:before="100" w:beforeAutospacing="1" w:after="100" w:afterAutospacing="1"/>
      <w:widowControl/>
    </w:pPr>
    <w:rPr>
      <w:rFonts w:ascii="宋体" w:hAnsi="宋体" w:cs="宋体"/>
      <w:sz w:val="24"/>
    </w:rPr>
  </w:style>
  <w:style w:type="paragraph" w:styleId="1172">
    <w:name w:val="Title"/>
    <w:basedOn w:val="1146"/>
    <w:next w:val="1146"/>
    <w:uiPriority w:val="0"/>
    <w:qFormat/>
    <w:pPr>
      <w:jc w:val="center"/>
      <w:spacing w:before="240" w:after="60"/>
      <w:outlineLvl w:val="0"/>
    </w:pPr>
    <w:rPr>
      <w:rFonts w:ascii="等线 Light" w:hAnsi="等线 Light"/>
      <w:b/>
      <w:bCs/>
      <w:sz w:val="32"/>
      <w:szCs w:val="32"/>
    </w:rPr>
  </w:style>
  <w:style w:type="paragraph" w:styleId="1173">
    <w:name w:val="Body Text First Indent"/>
    <w:basedOn w:val="1160"/>
    <w:link w:val="1199"/>
    <w:uiPriority w:val="99"/>
    <w:unhideWhenUsed/>
    <w:qFormat/>
    <w:pPr>
      <w:ind w:firstLine="420"/>
    </w:pPr>
  </w:style>
  <w:style w:type="paragraph" w:styleId="1174">
    <w:name w:val="Body Text First Indent 2"/>
    <w:basedOn w:val="1161"/>
    <w:uiPriority w:val="0"/>
    <w:unhideWhenUsed/>
    <w:qFormat/>
    <w:pPr>
      <w:ind w:left="420" w:firstLine="420"/>
      <w:spacing w:after="120"/>
    </w:pPr>
    <w:rPr>
      <w:rFonts w:ascii="Times New Roman" w:eastAsia="宋体"/>
      <w:sz w:val="21"/>
      <w:szCs w:val="24"/>
    </w:rPr>
  </w:style>
  <w:style w:type="table" w:styleId="1175">
    <w:name w:val="Table Grid"/>
    <w:basedOn w:val="1157"/>
    <w:uiPriority w:val="5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76">
    <w:name w:val="page number"/>
    <w:uiPriority w:val="0"/>
    <w:qFormat/>
  </w:style>
  <w:style w:type="paragraph" w:styleId="1177" w:customStyle="1">
    <w:name w:val="正文文本缩进1"/>
    <w:basedOn w:val="1146"/>
    <w:next w:val="1178"/>
    <w:uiPriority w:val="0"/>
    <w:qFormat/>
    <w:pPr>
      <w:ind w:left="420"/>
      <w:spacing w:after="120"/>
    </w:pPr>
    <w:rPr>
      <w:szCs w:val="21"/>
    </w:rPr>
  </w:style>
  <w:style w:type="paragraph" w:styleId="1178" w:customStyle="1">
    <w:name w:val="寄信人地址1"/>
    <w:basedOn w:val="1146"/>
    <w:uiPriority w:val="0"/>
    <w:qFormat/>
    <w:rPr>
      <w:rFonts w:ascii="Arial" w:hAnsi="Arial"/>
    </w:rPr>
  </w:style>
  <w:style w:type="paragraph" w:styleId="1179" w:customStyle="1">
    <w:name w:val="普通正文"/>
    <w:basedOn w:val="1146"/>
    <w:uiPriority w:val="0"/>
    <w:qFormat/>
    <w:pPr>
      <w:ind w:firstLine="480"/>
      <w:jc w:val="left"/>
      <w:spacing w:before="120" w:after="120" w:line="360" w:lineRule="auto"/>
    </w:pPr>
    <w:rPr>
      <w:rFonts w:ascii="Arial" w:hAnsi="Arial"/>
      <w:sz w:val="24"/>
    </w:rPr>
  </w:style>
  <w:style w:type="character" w:styleId="1180" w:customStyle="1">
    <w:name w:val="标题 1 Char"/>
    <w:link w:val="1147"/>
    <w:uiPriority w:val="0"/>
    <w:qFormat/>
    <w:rPr>
      <w:rFonts w:ascii="楷体_GB2312" w:hAnsi="楷体_GB2312"/>
      <w:b/>
      <w:szCs w:val="20"/>
    </w:rPr>
  </w:style>
  <w:style w:type="character" w:styleId="1181" w:customStyle="1">
    <w:name w:val="apple-style-span"/>
    <w:uiPriority w:val="0"/>
    <w:qFormat/>
  </w:style>
  <w:style w:type="paragraph" w:styleId="1182" w:customStyle="1">
    <w:name w:val="格式３"/>
    <w:basedOn w:val="1146"/>
    <w:uiPriority w:val="99"/>
    <w:qFormat/>
    <w:pPr>
      <w:ind w:left="600" w:hanging="600"/>
      <w:spacing w:line="420" w:lineRule="exact"/>
    </w:pPr>
    <w:rPr>
      <w:rFonts w:ascii="宋体" w:hAnsi="宋体"/>
      <w:color w:val="000000"/>
      <w:sz w:val="24"/>
      <w:szCs w:val="20"/>
    </w:rPr>
  </w:style>
  <w:style w:type="paragraph" w:styleId="1183">
    <w:name w:val="List Paragraph"/>
    <w:basedOn w:val="1146"/>
    <w:uiPriority w:val="99"/>
    <w:qFormat/>
    <w:pPr>
      <w:ind w:firstLine="420"/>
    </w:pPr>
    <w:rPr>
      <w:rFonts w:ascii="Calibri" w:hAnsi="Calibri"/>
      <w:szCs w:val="22"/>
    </w:rPr>
  </w:style>
  <w:style w:type="paragraph" w:styleId="1184" w:customStyle="1">
    <w:name w:val="标题 41"/>
    <w:basedOn w:val="1146"/>
    <w:next w:val="1146"/>
    <w:uiPriority w:val="0"/>
    <w:qFormat/>
    <w:pPr>
      <w:keepLines/>
      <w:keepNext/>
      <w:spacing w:before="280" w:after="290" w:line="376" w:lineRule="auto"/>
      <w:outlineLvl w:val="3"/>
    </w:pPr>
    <w:rPr>
      <w:rFonts w:ascii="Arial" w:hAnsi="Arial" w:eastAsia="黑体" w:cs="Arial"/>
      <w:b/>
      <w:bCs/>
      <w:sz w:val="28"/>
      <w:szCs w:val="28"/>
    </w:rPr>
  </w:style>
  <w:style w:type="paragraph" w:styleId="1185" w:customStyle="1">
    <w:name w:val="正文缩进1"/>
    <w:basedOn w:val="1146"/>
    <w:uiPriority w:val="0"/>
    <w:qFormat/>
    <w:pPr>
      <w:ind w:firstLine="420"/>
    </w:pPr>
    <w:rPr>
      <w:szCs w:val="21"/>
    </w:rPr>
  </w:style>
  <w:style w:type="paragraph" w:styleId="1186" w:customStyle="1">
    <w:name w:val="标题 11"/>
    <w:basedOn w:val="1146"/>
    <w:next w:val="1146"/>
    <w:uiPriority w:val="0"/>
    <w:qFormat/>
    <w:pPr>
      <w:jc w:val="center"/>
      <w:keepNext/>
      <w:outlineLvl w:val="0"/>
    </w:pPr>
    <w:rPr>
      <w:rFonts w:ascii="楷体_GB2312" w:eastAsia="楷体_GB2312"/>
      <w:sz w:val="28"/>
      <w:szCs w:val="28"/>
    </w:rPr>
  </w:style>
  <w:style w:type="paragraph" w:styleId="1187"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188" w:customStyle="1">
    <w:name w:val="列出段落1"/>
    <w:basedOn w:val="1146"/>
    <w:uiPriority w:val="0"/>
    <w:qFormat/>
    <w:pPr>
      <w:contextualSpacing/>
      <w:ind w:left="720"/>
      <w:jc w:val="left"/>
      <w:widowControl/>
    </w:pPr>
    <w:rPr>
      <w:rFonts w:ascii="Calibri" w:hAnsi="Calibri"/>
      <w:sz w:val="24"/>
      <w:lang w:eastAsia="en-US" w:bidi="en-US"/>
    </w:rPr>
  </w:style>
  <w:style w:type="paragraph" w:styleId="1189" w:customStyle="1">
    <w:name w:val="纯文本1"/>
    <w:basedOn w:val="1146"/>
    <w:uiPriority w:val="0"/>
    <w:qFormat/>
    <w:rPr>
      <w:rFonts w:ascii="宋体" w:hAnsi="Courier New" w:cs="Courier New"/>
      <w:szCs w:val="21"/>
    </w:rPr>
  </w:style>
  <w:style w:type="paragraph" w:styleId="1190" w:customStyle="1">
    <w:name w:val="二级目录"/>
    <w:next w:val="1146"/>
    <w:uiPriority w:val="0"/>
    <w:qFormat/>
    <w:pPr>
      <w:ind w:left="567" w:hanging="567"/>
      <w:tabs>
        <w:tab w:val="left" w:pos="720" w:leader="none"/>
      </w:tabs>
      <w:outlineLvl w:val="1"/>
    </w:pPr>
    <w:rPr>
      <w:rFonts w:ascii="Calibri" w:hAnsi="Calibri" w:eastAsia="Times New Roman" w:cs="Times New Roman"/>
      <w:b/>
      <w:sz w:val="30"/>
      <w:szCs w:val="28"/>
      <w:lang w:val="en-US" w:eastAsia="zh-CN" w:bidi="ar-SA"/>
    </w:rPr>
  </w:style>
  <w:style w:type="paragraph" w:styleId="1191" w:customStyle="1">
    <w:name w:val="页脚1"/>
    <w:basedOn w:val="1146"/>
    <w:uiPriority w:val="0"/>
    <w:qFormat/>
    <w:pPr>
      <w:jc w:val="left"/>
      <w:tabs>
        <w:tab w:val="center" w:pos="4153" w:leader="none"/>
        <w:tab w:val="right" w:pos="8306" w:leader="none"/>
      </w:tabs>
    </w:pPr>
    <w:rPr>
      <w:sz w:val="18"/>
    </w:rPr>
  </w:style>
  <w:style w:type="character" w:styleId="1192" w:customStyle="1">
    <w:name w:val="页码1"/>
    <w:uiPriority w:val="0"/>
    <w:qFormat/>
  </w:style>
  <w:style w:type="paragraph" w:styleId="1193" w:customStyle="1">
    <w:name w:val="标题 21"/>
    <w:basedOn w:val="1146"/>
    <w:next w:val="118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94" w:customStyle="1">
    <w:name w:val="简单回函地址"/>
    <w:basedOn w:val="1146"/>
    <w:uiPriority w:val="0"/>
    <w:qFormat/>
    <w:rPr>
      <w:rFonts w:cs="宋体"/>
      <w:szCs w:val="21"/>
    </w:rPr>
  </w:style>
  <w:style w:type="table" w:styleId="1195" w:customStyle="1">
    <w:name w:val="Table Normal"/>
    <w:uiPriority w:val="0"/>
    <w:semiHidden/>
    <w:unhideWhenUsed/>
    <w:qFormat/>
    <w:tblPr>
      <w:tblCellMar>
        <w:left w:w="0" w:type="dxa"/>
        <w:top w:w="0" w:type="dxa"/>
        <w:right w:w="0" w:type="dxa"/>
        <w:bottom w:w="0" w:type="dxa"/>
      </w:tblCellMar>
    </w:tblPr>
  </w:style>
  <w:style w:type="paragraph" w:styleId="1196" w:customStyle="1">
    <w:name w:val="Table Paragraph"/>
    <w:basedOn w:val="1146"/>
    <w:uiPriority w:val="1"/>
    <w:qFormat/>
    <w:pPr>
      <w:jc w:val="left"/>
    </w:pPr>
    <w:rPr>
      <w:sz w:val="22"/>
      <w:lang w:eastAsia="en-US"/>
    </w:rPr>
  </w:style>
  <w:style w:type="paragraph" w:styleId="1197" w:customStyle="1">
    <w:name w:val="sh4"/>
    <w:basedOn w:val="1146"/>
    <w:uiPriority w:val="0"/>
    <w:qFormat/>
    <w:pPr>
      <w:ind w:firstLine="420"/>
      <w:spacing w:line="460" w:lineRule="exact"/>
    </w:pPr>
    <w:rPr>
      <w:rFonts w:ascii="宋体" w:hAnsi="宋体"/>
      <w:szCs w:val="21"/>
      <w:lang w:eastAsia="en-US"/>
    </w:rPr>
  </w:style>
  <w:style w:type="character" w:styleId="1198" w:customStyle="1">
    <w:name w:val="正文文本 Char"/>
    <w:basedOn w:val="1156"/>
    <w:link w:val="1160"/>
    <w:uiPriority w:val="0"/>
    <w:qFormat/>
    <w:rPr>
      <w:rFonts w:ascii="楷体_GB2312" w:hAnsi="Arial" w:eastAsia="楷体_GB2312"/>
      <w:sz w:val="28"/>
    </w:rPr>
  </w:style>
  <w:style w:type="character" w:styleId="1199" w:customStyle="1">
    <w:name w:val="正文首行缩进 Char"/>
    <w:basedOn w:val="1198"/>
    <w:link w:val="1173"/>
    <w:uiPriority w:val="99"/>
    <w:qFormat/>
    <w:rPr>
      <w:rFonts w:ascii="楷体_GB2312" w:hAnsi="Arial" w:eastAsia="楷体_GB2312"/>
      <w:sz w:val="28"/>
    </w:rPr>
  </w:style>
  <w:style w:type="character" w:styleId="1200" w:customStyle="1">
    <w:name w:val="纯文本 Char"/>
    <w:link w:val="1163"/>
    <w:uiPriority w:val="99"/>
    <w:qFormat/>
    <w:rPr>
      <w:rFonts w:ascii="宋体" w:hAnsi="Courier New"/>
      <w:sz w:val="21"/>
    </w:rPr>
  </w:style>
  <w:style w:type="character" w:styleId="1201" w:customStyle="1">
    <w:name w:val="标题 1 字符1"/>
    <w:basedOn w:val="1156"/>
    <w:uiPriority w:val="0"/>
    <w:qFormat/>
    <w:rPr>
      <w:rFonts w:ascii="宋体" w:hAnsi="宋体" w:cs="宋体"/>
      <w:b/>
      <w:sz w:val="28"/>
      <w:szCs w:val="28"/>
    </w:rPr>
  </w:style>
  <w:style w:type="character" w:styleId="1202" w:customStyle="1">
    <w:name w:val="正文缩进 Char"/>
    <w:link w:val="1159"/>
    <w:uiPriority w:val="0"/>
    <w:qFormat/>
    <w:rPr>
      <w:sz w:val="21"/>
    </w:rPr>
  </w:style>
  <w:style w:type="paragraph" w:styleId="1203" w:customStyle="1">
    <w:name w:val="正文11"/>
    <w:next w:val="1146"/>
    <w:uiPriority w:val="0"/>
    <w:qFormat/>
    <w:pPr>
      <w:ind w:right="-91"/>
      <w:jc w:val="both"/>
      <w:spacing w:line="360" w:lineRule="auto"/>
    </w:pPr>
    <w:rPr>
      <w:rFonts w:ascii="Times New Roman" w:hAnsi="Times New Roman" w:eastAsia="宋体" w:cs="Times New Roman"/>
      <w:sz w:val="21"/>
      <w:szCs w:val="24"/>
      <w:lang w:val="en-US" w:eastAsia="zh-CN" w:bidi="ar-SA"/>
    </w:rPr>
  </w:style>
  <w:style w:type="paragraph" w:styleId="1204" w:customStyle="1">
    <w:name w:val="msonormal"/>
    <w:basedOn w:val="1146"/>
    <w:uiPriority w:val="0"/>
    <w:qFormat/>
    <w:pPr>
      <w:jc w:val="left"/>
      <w:spacing w:before="100" w:beforeAutospacing="1" w:after="100" w:afterAutospacing="1"/>
      <w:widowControl/>
    </w:pPr>
    <w:rPr>
      <w:rFonts w:ascii="宋体" w:hAnsi="宋体" w:cs="宋体"/>
      <w:sz w:val="24"/>
    </w:rPr>
  </w:style>
  <w:style w:type="paragraph" w:styleId="1205" w:customStyle="1">
    <w:name w:val="段"/>
    <w:next w:val="1146"/>
    <w:uiPriority w:val="0"/>
    <w:qFormat/>
    <w:pPr>
      <w:ind w:firstLine="420"/>
      <w:jc w:val="both"/>
      <w:spacing w:after="200" w:line="276" w:lineRule="auto"/>
      <w:tabs>
        <w:tab w:val="center" w:pos="4201" w:leader="none"/>
        <w:tab w:val="right" w:pos="9298" w:leader="dot"/>
      </w:tabs>
    </w:pPr>
    <w:rPr>
      <w:rFonts w:ascii="宋体" w:hAnsi="Calibri" w:eastAsia="宋体" w:cs="Times New Roman"/>
      <w:lang w:val="en-US" w:eastAsia="zh-CN" w:bidi="ar-SA"/>
    </w:rPr>
  </w:style>
  <w:style w:type="paragraph" w:styleId="1206" w:customStyle="1">
    <w:name w:val="9-正文"/>
    <w:basedOn w:val="1146"/>
    <w:uiPriority w:val="0"/>
    <w:qFormat/>
    <w:pPr>
      <w:ind w:firstLine="480"/>
      <w:spacing w:line="360" w:lineRule="auto"/>
    </w:pPr>
    <w:rPr>
      <w:sz w:val="24"/>
    </w:rPr>
  </w:style>
  <w:style w:type="paragraph" w:styleId="1207" w:customStyle="1">
    <w:name w:val="9-正文编号"/>
    <w:basedOn w:val="1206"/>
    <w:uiPriority w:val="0"/>
    <w:qFormat/>
    <w:pPr>
      <w:ind w:left="846" w:hanging="422"/>
    </w:pPr>
    <w:rPr>
      <w:rFonts w:ascii="宋体" w:hAnsi="宋体"/>
      <w:szCs w:val="21"/>
    </w:rPr>
  </w:style>
  <w:style w:type="paragraph" w:styleId="1208" w:customStyle="1">
    <w:name w:val="_Style 7"/>
    <w:basedOn w:val="1146"/>
    <w:next w:val="1146"/>
    <w:uiPriority w:val="0"/>
    <w:qFormat/>
    <w:pPr>
      <w:ind w:left="420" w:firstLine="3748"/>
      <w:spacing w:before="100" w:beforeAutospacing="1" w:after="100" w:afterAutospacing="1"/>
    </w:pPr>
    <w:rPr>
      <w:sz w:val="24"/>
      <w:szCs w:val="24"/>
    </w:rPr>
  </w:style>
  <w:style w:type="paragraph" w:styleId="1209" w:customStyle="1">
    <w:name w:val="Table Text"/>
    <w:basedOn w:val="1146"/>
    <w:uiPriority w:val="0"/>
    <w:semiHidden/>
    <w:qFormat/>
    <w:rPr>
      <w:rFonts w:ascii="微软雅黑" w:hAnsi="微软雅黑" w:eastAsia="微软雅黑" w:cs="微软雅黑"/>
      <w:sz w:val="21"/>
      <w:szCs w:val="21"/>
      <w:lang w:val="en-US" w:eastAsia="en-US" w:bidi="ar-SA"/>
    </w:rPr>
  </w:style>
  <w:style w:type="character" w:styleId="1210" w:customStyle="1">
    <w:name w:val="font31"/>
    <w:basedOn w:val="1156"/>
    <w:uiPriority w:val="0"/>
    <w:qFormat/>
    <w:rPr>
      <w:rFonts w:hint="eastAsia" w:ascii="宋体" w:hAnsi="宋体" w:eastAsia="宋体" w:cs="宋体"/>
      <w:b/>
      <w:bCs/>
      <w:color w:val="000000"/>
      <w:sz w:val="21"/>
      <w:szCs w:val="21"/>
      <w:u w:val="none"/>
    </w:rPr>
  </w:style>
  <w:style w:type="numbering" w:styleId="12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097" textRotate="1"/>
    <customShpInfo spid="_x0000_s4099" textRotate="1"/>
    <customShpInfo spid="_x0000_s4098" textRotate="1"/>
    <customShpInfo spid="_x0000_s4103" textRotate="1"/>
    <customShpInfo spid="_x0000_s4102" textRotate="1"/>
    <customShpInfo spid="_x0000_s4104" textRotate="1"/>
    <customShpInfo spid="_x0000_s4106" textRotate="1"/>
    <customShpInfo spid="_x0000_s4105"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王璘</dc:creator>
  <cp:lastModifiedBy>王璘</cp:lastModifiedBy>
  <cp:revision>127</cp:revision>
  <dcterms:created xsi:type="dcterms:W3CDTF">2023-03-28T01:23:00Z</dcterms:created>
  <dcterms:modified xsi:type="dcterms:W3CDTF">2025-11-05T01:45:03Z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13964351B898434AAC93B880296D52E2_13</vt:lpwstr>
  </property>
  <property fmtid="{D5CDD505-2E9C-101B-9397-08002B2CF9AE}" pid="4" name="KSOTemplateDocerSaveRecord">
    <vt:lpwstr>eyJoZGlkIjoiYjJmOTM2NzZkZGFkZDMyMjhjYjdmOTUzNzk0MmY4MDgiLCJ1c2VySWQiOiIxNDc2MzA3NjM2In0=</vt:lpwstr>
  </property>
</Properties>
</file>